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911" w:rsidRDefault="008D2911" w:rsidP="008D2911">
      <w:pPr>
        <w:spacing w:line="560" w:lineRule="exact"/>
        <w:contextualSpacing/>
        <w:jc w:val="center"/>
        <w:rPr>
          <w:rFonts w:ascii="方正小标宋简体" w:eastAsia="方正小标宋简体"/>
          <w:sz w:val="44"/>
          <w:szCs w:val="44"/>
        </w:rPr>
      </w:pPr>
    </w:p>
    <w:p w:rsidR="008D2911" w:rsidRDefault="008D2911" w:rsidP="008D2911">
      <w:pPr>
        <w:spacing w:line="560" w:lineRule="exact"/>
        <w:contextualSpacing/>
        <w:jc w:val="center"/>
        <w:rPr>
          <w:rFonts w:ascii="方正小标宋简体" w:eastAsia="方正小标宋简体"/>
          <w:sz w:val="44"/>
          <w:szCs w:val="44"/>
        </w:rPr>
      </w:pPr>
      <w:r w:rsidRPr="008D2911">
        <w:rPr>
          <w:rFonts w:ascii="方正小标宋简体" w:eastAsia="方正小标宋简体" w:hint="eastAsia"/>
          <w:sz w:val="44"/>
          <w:szCs w:val="44"/>
        </w:rPr>
        <w:t>科技部关于发布国家重点研发计划“病原学与防疫技术体系研究”等“十四五”重点专项2021年度项目申报指南的通知</w:t>
      </w:r>
    </w:p>
    <w:p w:rsidR="008D2911" w:rsidRPr="008D2911" w:rsidRDefault="008D2911" w:rsidP="008D2911">
      <w:pPr>
        <w:spacing w:line="560" w:lineRule="exact"/>
        <w:contextualSpacing/>
        <w:jc w:val="center"/>
        <w:rPr>
          <w:rFonts w:ascii="方正小标宋简体" w:eastAsia="方正小标宋简体" w:hint="eastAsia"/>
          <w:sz w:val="44"/>
          <w:szCs w:val="44"/>
        </w:rPr>
      </w:pPr>
    </w:p>
    <w:p w:rsidR="008D2911" w:rsidRPr="008D2911" w:rsidRDefault="008D2911" w:rsidP="008D2911">
      <w:pPr>
        <w:spacing w:line="560" w:lineRule="exact"/>
        <w:contextualSpacing/>
        <w:jc w:val="center"/>
        <w:rPr>
          <w:rFonts w:ascii="楷体_GB2312" w:eastAsia="楷体_GB2312" w:hint="eastAsia"/>
          <w:sz w:val="32"/>
          <w:szCs w:val="32"/>
        </w:rPr>
      </w:pPr>
      <w:r w:rsidRPr="008D2911">
        <w:rPr>
          <w:rFonts w:ascii="楷体_GB2312" w:eastAsia="楷体_GB2312" w:hint="eastAsia"/>
          <w:sz w:val="32"/>
          <w:szCs w:val="32"/>
        </w:rPr>
        <w:t>国</w:t>
      </w:r>
      <w:proofErr w:type="gramStart"/>
      <w:r w:rsidRPr="008D2911">
        <w:rPr>
          <w:rFonts w:ascii="楷体_GB2312" w:eastAsia="楷体_GB2312" w:hint="eastAsia"/>
          <w:sz w:val="32"/>
          <w:szCs w:val="32"/>
        </w:rPr>
        <w:t>科发资〔2021〕</w:t>
      </w:r>
      <w:proofErr w:type="gramEnd"/>
      <w:r w:rsidRPr="008D2911">
        <w:rPr>
          <w:rFonts w:ascii="楷体_GB2312" w:eastAsia="楷体_GB2312" w:hint="eastAsia"/>
          <w:sz w:val="32"/>
          <w:szCs w:val="32"/>
        </w:rPr>
        <w:t>144号</w:t>
      </w:r>
    </w:p>
    <w:p w:rsidR="008D2911" w:rsidRPr="008D2911" w:rsidRDefault="008D2911" w:rsidP="008D2911">
      <w:pPr>
        <w:spacing w:line="560" w:lineRule="exact"/>
        <w:contextualSpacing/>
        <w:jc w:val="center"/>
        <w:rPr>
          <w:rFonts w:ascii="仿宋_GB2312" w:eastAsia="仿宋_GB2312" w:hint="eastAsia"/>
          <w:sz w:val="32"/>
          <w:szCs w:val="32"/>
        </w:rPr>
      </w:pPr>
    </w:p>
    <w:p w:rsidR="008D2911" w:rsidRPr="008D2911" w:rsidRDefault="008D2911" w:rsidP="008D2911">
      <w:pPr>
        <w:spacing w:line="560" w:lineRule="exact"/>
        <w:contextualSpacing/>
        <w:rPr>
          <w:rFonts w:ascii="仿宋_GB2312" w:eastAsia="仿宋_GB2312" w:hint="eastAsia"/>
          <w:sz w:val="32"/>
          <w:szCs w:val="32"/>
        </w:rPr>
      </w:pPr>
      <w:r w:rsidRPr="008D2911">
        <w:rPr>
          <w:rFonts w:ascii="仿宋_GB2312" w:eastAsia="仿宋_GB2312" w:hint="eastAsia"/>
          <w:sz w:val="32"/>
          <w:szCs w:val="32"/>
        </w:rPr>
        <w:t>各省、自治区、直辖市及计划单列市科技厅（委、局），新疆生产建设兵团科技局，国务院各有关部门，各有关单位：</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十四五”国家重点研发计划深入贯彻落实党的十九届五中全会精神和“十四五”规划，坚持“四个面向”总要求，积极探索“揭榜挂帅”等科技管理改革举措，全面提升科研投入绩效。根据《国家重点研发计划管理暂行办法》和组织管理相关要求，现将“病原学与防疫技术体系研究”等“十四五”重点专项2021年度项目申报指南予以公布。请根据指南要求组织项目申报工作。现将有关事项通知如下。</w:t>
      </w:r>
    </w:p>
    <w:p w:rsidR="008D2911" w:rsidRPr="008D2911" w:rsidRDefault="008D2911" w:rsidP="008D2911">
      <w:pPr>
        <w:spacing w:line="560" w:lineRule="exact"/>
        <w:ind w:firstLineChars="200" w:firstLine="640"/>
        <w:contextualSpacing/>
        <w:rPr>
          <w:rFonts w:ascii="黑体" w:eastAsia="黑体" w:hAnsi="黑体" w:hint="eastAsia"/>
          <w:sz w:val="32"/>
          <w:szCs w:val="32"/>
        </w:rPr>
      </w:pPr>
      <w:r w:rsidRPr="008D2911">
        <w:rPr>
          <w:rFonts w:ascii="黑体" w:eastAsia="黑体" w:hAnsi="黑体" w:hint="eastAsia"/>
          <w:sz w:val="32"/>
          <w:szCs w:val="32"/>
        </w:rPr>
        <w:t>一、项目组织申报工作流程</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1.申报单位根据指南方向的研究内容以项目形式组织申报，项目可下设课题。项目应整体申报，须覆盖相应指南方向的全部考核指标。项目设1名负责人，每个课题设1名负责人，项目负责人可担任其中1个课题的负责人。</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2.项目组织实施应整合优势创新团队，聚焦指南任务，强化基础研究、共性关键技术研发和典型应用示范各项任务间的统筹衔接，集中力量，联合攻关。</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lastRenderedPageBreak/>
        <w:t>3.国家重点研发计划项目申报评审具体工作流程如下。</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项目申报单位根据指南相关申报要求，通过国家科技管理信息系统公共服务平台（http://service.most.gov.cn，以下简称“国科管系统”）填写并提交项目（预）申报书。详细说明申报项目的目标和指标，简要说明创新思路、技术路线和研究基础。对于非定向项目，项目申报单位根据指南相关申报要求，通过国科管系统填写并提交3000字左右的项目预申报书。从指南发布日到（预）申报书受理截止日不少于50天。</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（预）申报书应包括相关协议和承诺。项目牵头申报单位应与所有参与单位签署联合申报协议，并明确协议签署时间；项目牵头申报单位、课题申报单位、项目负责人及课题负责人</w:t>
      </w:r>
      <w:proofErr w:type="gramStart"/>
      <w:r w:rsidRPr="008D2911">
        <w:rPr>
          <w:rFonts w:ascii="仿宋_GB2312" w:eastAsia="仿宋_GB2312" w:hint="eastAsia"/>
          <w:sz w:val="32"/>
          <w:szCs w:val="32"/>
        </w:rPr>
        <w:t>须签署诚信</w:t>
      </w:r>
      <w:proofErr w:type="gramEnd"/>
      <w:r w:rsidRPr="008D2911">
        <w:rPr>
          <w:rFonts w:ascii="仿宋_GB2312" w:eastAsia="仿宋_GB2312" w:hint="eastAsia"/>
          <w:sz w:val="32"/>
          <w:szCs w:val="32"/>
        </w:rPr>
        <w:t>承诺书，项目牵头申报单位及所有参与单位要落实《关于进一步加强科研诚信建设的若干意见》《关于进一步弘扬科学家精神加强作风和学风建设的意见》要求，加强对申报材料审核把关，杜绝夸大不实，甚至弄虚作假。</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（预）申报书须经相关单位推荐。各推荐单位加强对所推荐的项目申报材料审核把关，按时将推荐项目通过国科管系统统一报送。</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——专业机构受理项目（预）申报。为确保合理的竞争度，对于非定向申报的单个指南方向，若申报团队数量不多于</w:t>
      </w:r>
      <w:proofErr w:type="gramStart"/>
      <w:r w:rsidRPr="008D2911">
        <w:rPr>
          <w:rFonts w:ascii="仿宋_GB2312" w:eastAsia="仿宋_GB2312" w:hint="eastAsia"/>
          <w:sz w:val="32"/>
          <w:szCs w:val="32"/>
        </w:rPr>
        <w:t>拟支持</w:t>
      </w:r>
      <w:proofErr w:type="gramEnd"/>
      <w:r w:rsidRPr="008D2911">
        <w:rPr>
          <w:rFonts w:ascii="仿宋_GB2312" w:eastAsia="仿宋_GB2312" w:hint="eastAsia"/>
          <w:sz w:val="32"/>
          <w:szCs w:val="32"/>
        </w:rPr>
        <w:t>的项目数量，该指南方向不启动后续项目评审立项程序，择期重新研究发布指南。</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——对于定向项目，专业机构在受理项目申报后，组织</w:t>
      </w:r>
      <w:r w:rsidRPr="008D2911">
        <w:rPr>
          <w:rFonts w:ascii="仿宋_GB2312" w:eastAsia="仿宋_GB2312" w:hint="eastAsia"/>
          <w:sz w:val="32"/>
          <w:szCs w:val="32"/>
        </w:rPr>
        <w:lastRenderedPageBreak/>
        <w:t>形式审查，并组织答辩评审，申报项目的负责人进行报告答辩。根据专家评议情况择优立项。</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——对于非定向项目，专业机构根据项目申报情况开展首轮评审工作，首轮评审不需要项目负责人进行答辩。根据专家的评审结果，遴选出3~</w:t>
      </w:r>
      <w:proofErr w:type="gramStart"/>
      <w:r w:rsidRPr="008D2911">
        <w:rPr>
          <w:rFonts w:ascii="仿宋_GB2312" w:eastAsia="仿宋_GB2312" w:hint="eastAsia"/>
          <w:sz w:val="32"/>
          <w:szCs w:val="32"/>
        </w:rPr>
        <w:t>4倍于拟立项</w:t>
      </w:r>
      <w:proofErr w:type="gramEnd"/>
      <w:r w:rsidRPr="008D2911">
        <w:rPr>
          <w:rFonts w:ascii="仿宋_GB2312" w:eastAsia="仿宋_GB2312" w:hint="eastAsia"/>
          <w:sz w:val="32"/>
          <w:szCs w:val="32"/>
        </w:rPr>
        <w:t>数量的申报项目，进入答辩评审。对于未进入答辩评审的申报项目，及时将评审结果反馈项目申报单位和负责人。</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——非</w:t>
      </w:r>
      <w:proofErr w:type="gramStart"/>
      <w:r w:rsidRPr="008D2911">
        <w:rPr>
          <w:rFonts w:ascii="仿宋_GB2312" w:eastAsia="仿宋_GB2312" w:hint="eastAsia"/>
          <w:sz w:val="32"/>
          <w:szCs w:val="32"/>
        </w:rPr>
        <w:t>定向项目</w:t>
      </w:r>
      <w:proofErr w:type="gramEnd"/>
      <w:r w:rsidRPr="008D2911">
        <w:rPr>
          <w:rFonts w:ascii="仿宋_GB2312" w:eastAsia="仿宋_GB2312" w:hint="eastAsia"/>
          <w:sz w:val="32"/>
          <w:szCs w:val="32"/>
        </w:rPr>
        <w:t>申报单位在接到专业机构关于进入答辩评审的通知后，通过国家科技管理信息系统填写并提交项目正式申报书。正式申报书受理时间为30天。</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——专业机构对进入答辩评审的非</w:t>
      </w:r>
      <w:proofErr w:type="gramStart"/>
      <w:r w:rsidRPr="008D2911">
        <w:rPr>
          <w:rFonts w:ascii="仿宋_GB2312" w:eastAsia="仿宋_GB2312" w:hint="eastAsia"/>
          <w:sz w:val="32"/>
          <w:szCs w:val="32"/>
        </w:rPr>
        <w:t>定向项目</w:t>
      </w:r>
      <w:proofErr w:type="gramEnd"/>
      <w:r w:rsidRPr="008D2911">
        <w:rPr>
          <w:rFonts w:ascii="仿宋_GB2312" w:eastAsia="仿宋_GB2312" w:hint="eastAsia"/>
          <w:sz w:val="32"/>
          <w:szCs w:val="32"/>
        </w:rPr>
        <w:t>申报书进行形式审查，并组织答辩评审。申报项目的负责人通过网络视频进行报告答辩。根据专家评议情况择优立项。对于支持1~2项的指南方向，原则上只支持1项，如答辩评审结果前两位的申报项目评价相近，且技术路线明显不同，可同时立项支持，并建立动态调整机制，结合过程管理开展中期评估，根据评估结果确定后续支持方式。</w:t>
      </w:r>
    </w:p>
    <w:p w:rsidR="008D2911" w:rsidRPr="008D2911" w:rsidRDefault="008D2911" w:rsidP="008D2911">
      <w:pPr>
        <w:spacing w:line="560" w:lineRule="exact"/>
        <w:ind w:firstLineChars="200" w:firstLine="640"/>
        <w:contextualSpacing/>
        <w:rPr>
          <w:rFonts w:ascii="黑体" w:eastAsia="黑体" w:hAnsi="黑体" w:hint="eastAsia"/>
          <w:sz w:val="32"/>
          <w:szCs w:val="32"/>
        </w:rPr>
      </w:pPr>
      <w:r w:rsidRPr="008D2911">
        <w:rPr>
          <w:rFonts w:ascii="黑体" w:eastAsia="黑体" w:hAnsi="黑体" w:hint="eastAsia"/>
          <w:sz w:val="32"/>
          <w:szCs w:val="32"/>
        </w:rPr>
        <w:t>二、组织申报的推荐单位</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1.国务院有关部门科技主管司局；</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2.各省、自治区、直辖市、计划单列市及新疆生产建设兵团科技主管部门；</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3.原工业部门转制成立的行业协会；</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4.纳入科技</w:t>
      </w:r>
      <w:proofErr w:type="gramStart"/>
      <w:r w:rsidRPr="008D2911">
        <w:rPr>
          <w:rFonts w:ascii="仿宋_GB2312" w:eastAsia="仿宋_GB2312" w:hint="eastAsia"/>
          <w:sz w:val="32"/>
          <w:szCs w:val="32"/>
        </w:rPr>
        <w:t>部试点</w:t>
      </w:r>
      <w:proofErr w:type="gramEnd"/>
      <w:r w:rsidRPr="008D2911">
        <w:rPr>
          <w:rFonts w:ascii="仿宋_GB2312" w:eastAsia="仿宋_GB2312" w:hint="eastAsia"/>
          <w:sz w:val="32"/>
          <w:szCs w:val="32"/>
        </w:rPr>
        <w:t>范围并且评估结果为A类的产业技术创新战略联盟，以及纳入科技部、财政部开展的科技服务业</w:t>
      </w:r>
      <w:r w:rsidRPr="008D2911">
        <w:rPr>
          <w:rFonts w:ascii="仿宋_GB2312" w:eastAsia="仿宋_GB2312" w:hint="eastAsia"/>
          <w:sz w:val="32"/>
          <w:szCs w:val="32"/>
        </w:rPr>
        <w:lastRenderedPageBreak/>
        <w:t>创新发展行业试点联盟。</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各推荐单位应在本单位职能和业务范围内推荐，并对所推荐项目的真实性等负责。推荐单位名单在国科管系统上公开发布。</w:t>
      </w:r>
    </w:p>
    <w:p w:rsidR="008D2911" w:rsidRPr="008D2911" w:rsidRDefault="008D2911" w:rsidP="008D2911">
      <w:pPr>
        <w:spacing w:line="560" w:lineRule="exact"/>
        <w:ind w:firstLineChars="200" w:firstLine="640"/>
        <w:contextualSpacing/>
        <w:rPr>
          <w:rFonts w:ascii="黑体" w:eastAsia="黑体" w:hAnsi="黑体" w:hint="eastAsia"/>
          <w:sz w:val="32"/>
          <w:szCs w:val="32"/>
        </w:rPr>
      </w:pPr>
      <w:r w:rsidRPr="008D2911">
        <w:rPr>
          <w:rFonts w:ascii="黑体" w:eastAsia="黑体" w:hAnsi="黑体" w:hint="eastAsia"/>
          <w:sz w:val="32"/>
          <w:szCs w:val="32"/>
        </w:rPr>
        <w:t>三、申报资格要求</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1.项目牵头申报单位和参与单位应为中国大陆境内注册的科研院所、高等学校和企业等，具有独立法人资格，注册时间为2020年6月30日前，有较强的科技研发能力和条件，运行管理规范。国家机关不得牵头或参与申报。</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项目牵头申报单位、参与单位以及团队成员诚信状况良好，无在惩戒执行期内的科研严重失信行为记录和相关社会领域信用“黑名单”记录。</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申报单位同一个项目只能通过单个推荐单位申报，不得多头申报和重复申报。</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2.项目（课题）负责人须具有高级职称或博士学位，1961年1月1日以后出生，每年用于项目的工作时间不得少于6个月。</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3.项目（课题）负责人原则上应为该项目（课题）主体研究思路的提出者和实际主持研究的科技人员。中央和地方各级国家机关的公务人员（包括行使科技计划管理职能的其他人员）不得申报项目（课题）。</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4.项目（课题）负责人限申报1个项目（课题）；国家科技重大专项、国家重点研发计划、科技创新2030</w:t>
      </w:r>
      <w:proofErr w:type="gramStart"/>
      <w:r w:rsidRPr="008D2911">
        <w:rPr>
          <w:rFonts w:ascii="仿宋_GB2312" w:eastAsia="仿宋_GB2312" w:hint="eastAsia"/>
          <w:sz w:val="32"/>
          <w:szCs w:val="32"/>
        </w:rPr>
        <w:t>—重大</w:t>
      </w:r>
      <w:proofErr w:type="gramEnd"/>
      <w:r w:rsidRPr="008D2911">
        <w:rPr>
          <w:rFonts w:ascii="仿宋_GB2312" w:eastAsia="仿宋_GB2312" w:hint="eastAsia"/>
          <w:sz w:val="32"/>
          <w:szCs w:val="32"/>
        </w:rPr>
        <w:t>项目的在</w:t>
      </w:r>
      <w:proofErr w:type="gramStart"/>
      <w:r w:rsidRPr="008D2911">
        <w:rPr>
          <w:rFonts w:ascii="仿宋_GB2312" w:eastAsia="仿宋_GB2312" w:hint="eastAsia"/>
          <w:sz w:val="32"/>
          <w:szCs w:val="32"/>
        </w:rPr>
        <w:t>研</w:t>
      </w:r>
      <w:proofErr w:type="gramEnd"/>
      <w:r w:rsidRPr="008D2911">
        <w:rPr>
          <w:rFonts w:ascii="仿宋_GB2312" w:eastAsia="仿宋_GB2312" w:hint="eastAsia"/>
          <w:sz w:val="32"/>
          <w:szCs w:val="32"/>
        </w:rPr>
        <w:t>项目负责人不得牵头或参与申报项目（课题），课题负</w:t>
      </w:r>
      <w:r w:rsidRPr="008D2911">
        <w:rPr>
          <w:rFonts w:ascii="仿宋_GB2312" w:eastAsia="仿宋_GB2312" w:hint="eastAsia"/>
          <w:sz w:val="32"/>
          <w:szCs w:val="32"/>
        </w:rPr>
        <w:lastRenderedPageBreak/>
        <w:t>责人可参与申报项目（课题）。</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项目（课题）负责人、项目骨干的申报项目（课题）和国家科技重大专项、国家重点研发计划、科技创新2030</w:t>
      </w:r>
      <w:proofErr w:type="gramStart"/>
      <w:r w:rsidRPr="008D2911">
        <w:rPr>
          <w:rFonts w:ascii="仿宋_GB2312" w:eastAsia="仿宋_GB2312" w:hint="eastAsia"/>
          <w:sz w:val="32"/>
          <w:szCs w:val="32"/>
        </w:rPr>
        <w:t>—重大</w:t>
      </w:r>
      <w:proofErr w:type="gramEnd"/>
      <w:r w:rsidRPr="008D2911">
        <w:rPr>
          <w:rFonts w:ascii="仿宋_GB2312" w:eastAsia="仿宋_GB2312" w:hint="eastAsia"/>
          <w:sz w:val="32"/>
          <w:szCs w:val="32"/>
        </w:rPr>
        <w:t>项目在</w:t>
      </w:r>
      <w:proofErr w:type="gramStart"/>
      <w:r w:rsidRPr="008D2911">
        <w:rPr>
          <w:rFonts w:ascii="仿宋_GB2312" w:eastAsia="仿宋_GB2312" w:hint="eastAsia"/>
          <w:sz w:val="32"/>
          <w:szCs w:val="32"/>
        </w:rPr>
        <w:t>研</w:t>
      </w:r>
      <w:proofErr w:type="gramEnd"/>
      <w:r w:rsidRPr="008D2911">
        <w:rPr>
          <w:rFonts w:ascii="仿宋_GB2312" w:eastAsia="仿宋_GB2312" w:hint="eastAsia"/>
          <w:sz w:val="32"/>
          <w:szCs w:val="32"/>
        </w:rPr>
        <w:t>项目（课题）总数不得超过2个。国家科技重大专项、国家重点研发计划、科技创新2030</w:t>
      </w:r>
      <w:proofErr w:type="gramStart"/>
      <w:r w:rsidRPr="008D2911">
        <w:rPr>
          <w:rFonts w:ascii="仿宋_GB2312" w:eastAsia="仿宋_GB2312" w:hint="eastAsia"/>
          <w:sz w:val="32"/>
          <w:szCs w:val="32"/>
        </w:rPr>
        <w:t>—重大</w:t>
      </w:r>
      <w:proofErr w:type="gramEnd"/>
      <w:r w:rsidRPr="008D2911">
        <w:rPr>
          <w:rFonts w:ascii="仿宋_GB2312" w:eastAsia="仿宋_GB2312" w:hint="eastAsia"/>
          <w:sz w:val="32"/>
          <w:szCs w:val="32"/>
        </w:rPr>
        <w:t>项目的在</w:t>
      </w:r>
      <w:proofErr w:type="gramStart"/>
      <w:r w:rsidRPr="008D2911">
        <w:rPr>
          <w:rFonts w:ascii="仿宋_GB2312" w:eastAsia="仿宋_GB2312" w:hint="eastAsia"/>
          <w:sz w:val="32"/>
          <w:szCs w:val="32"/>
        </w:rPr>
        <w:t>研</w:t>
      </w:r>
      <w:proofErr w:type="gramEnd"/>
      <w:r w:rsidRPr="008D2911">
        <w:rPr>
          <w:rFonts w:ascii="仿宋_GB2312" w:eastAsia="仿宋_GB2312" w:hint="eastAsia"/>
          <w:sz w:val="32"/>
          <w:szCs w:val="32"/>
        </w:rPr>
        <w:t>项目（课题）负责人和项目骨干不得因申报新项目而退出在</w:t>
      </w:r>
      <w:proofErr w:type="gramStart"/>
      <w:r w:rsidRPr="008D2911">
        <w:rPr>
          <w:rFonts w:ascii="仿宋_GB2312" w:eastAsia="仿宋_GB2312" w:hint="eastAsia"/>
          <w:sz w:val="32"/>
          <w:szCs w:val="32"/>
        </w:rPr>
        <w:t>研</w:t>
      </w:r>
      <w:proofErr w:type="gramEnd"/>
      <w:r w:rsidRPr="008D2911">
        <w:rPr>
          <w:rFonts w:ascii="仿宋_GB2312" w:eastAsia="仿宋_GB2312" w:hint="eastAsia"/>
          <w:sz w:val="32"/>
          <w:szCs w:val="32"/>
        </w:rPr>
        <w:t>项目；退出项目研发团队后，在原项目执行期内原则上不得牵头或参与申报新的国家重点研发计划项目。</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项目任务</w:t>
      </w:r>
      <w:proofErr w:type="gramStart"/>
      <w:r w:rsidRPr="008D2911">
        <w:rPr>
          <w:rFonts w:ascii="仿宋_GB2312" w:eastAsia="仿宋_GB2312" w:hint="eastAsia"/>
          <w:sz w:val="32"/>
          <w:szCs w:val="32"/>
        </w:rPr>
        <w:t>书执行</w:t>
      </w:r>
      <w:proofErr w:type="gramEnd"/>
      <w:r w:rsidRPr="008D2911">
        <w:rPr>
          <w:rFonts w:ascii="仿宋_GB2312" w:eastAsia="仿宋_GB2312" w:hint="eastAsia"/>
          <w:sz w:val="32"/>
          <w:szCs w:val="32"/>
        </w:rPr>
        <w:t>期（包括延期后的执行期）到2021年12月31日之前的在</w:t>
      </w:r>
      <w:proofErr w:type="gramStart"/>
      <w:r w:rsidRPr="008D2911">
        <w:rPr>
          <w:rFonts w:ascii="仿宋_GB2312" w:eastAsia="仿宋_GB2312" w:hint="eastAsia"/>
          <w:sz w:val="32"/>
          <w:szCs w:val="32"/>
        </w:rPr>
        <w:t>研</w:t>
      </w:r>
      <w:proofErr w:type="gramEnd"/>
      <w:r w:rsidRPr="008D2911">
        <w:rPr>
          <w:rFonts w:ascii="仿宋_GB2312" w:eastAsia="仿宋_GB2312" w:hint="eastAsia"/>
          <w:sz w:val="32"/>
          <w:szCs w:val="32"/>
        </w:rPr>
        <w:t>项目（</w:t>
      </w:r>
      <w:proofErr w:type="gramStart"/>
      <w:r w:rsidRPr="008D2911">
        <w:rPr>
          <w:rFonts w:ascii="仿宋_GB2312" w:eastAsia="仿宋_GB2312" w:hint="eastAsia"/>
          <w:sz w:val="32"/>
          <w:szCs w:val="32"/>
        </w:rPr>
        <w:t>含任务</w:t>
      </w:r>
      <w:proofErr w:type="gramEnd"/>
      <w:r w:rsidRPr="008D2911">
        <w:rPr>
          <w:rFonts w:ascii="仿宋_GB2312" w:eastAsia="仿宋_GB2312" w:hint="eastAsia"/>
          <w:sz w:val="32"/>
          <w:szCs w:val="32"/>
        </w:rPr>
        <w:t>或课题）不在限项范围内。</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5.参与重点专项实施方案或本年度项目指南编制的专家，原则上不能申报该重点专项项目（课题）。</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6.受聘于内地单位的外籍科学家及港、澳、台地区科学家可作为项目（课题）负责人，全职受聘人员须由内地聘用单位提供全职聘用的有效材料，非全职受聘人员须由双方单位同时提供聘用的有效材料，并作为项目预申报材料一并提交。</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7.申报项目受理后，原则上不能更改申报单位和负责人。</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8.项目具体申报要求详见各申报指南，有特殊规定的，从其规定。</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各申报单位在正式提交项目（预）申报书前可利用国科管系统查询相关科研人员承担国家科技重大专项、国家重点研发计划重点专项、科技创新2030</w:t>
      </w:r>
      <w:proofErr w:type="gramStart"/>
      <w:r w:rsidRPr="008D2911">
        <w:rPr>
          <w:rFonts w:ascii="仿宋_GB2312" w:eastAsia="仿宋_GB2312" w:hint="eastAsia"/>
          <w:sz w:val="32"/>
          <w:szCs w:val="32"/>
        </w:rPr>
        <w:t>—重大</w:t>
      </w:r>
      <w:proofErr w:type="gramEnd"/>
      <w:r w:rsidRPr="008D2911">
        <w:rPr>
          <w:rFonts w:ascii="仿宋_GB2312" w:eastAsia="仿宋_GB2312" w:hint="eastAsia"/>
          <w:sz w:val="32"/>
          <w:szCs w:val="32"/>
        </w:rPr>
        <w:t>项目在</w:t>
      </w:r>
      <w:proofErr w:type="gramStart"/>
      <w:r w:rsidRPr="008D2911">
        <w:rPr>
          <w:rFonts w:ascii="仿宋_GB2312" w:eastAsia="仿宋_GB2312" w:hint="eastAsia"/>
          <w:sz w:val="32"/>
          <w:szCs w:val="32"/>
        </w:rPr>
        <w:t>研</w:t>
      </w:r>
      <w:proofErr w:type="gramEnd"/>
      <w:r w:rsidRPr="008D2911">
        <w:rPr>
          <w:rFonts w:ascii="仿宋_GB2312" w:eastAsia="仿宋_GB2312" w:hint="eastAsia"/>
          <w:sz w:val="32"/>
          <w:szCs w:val="32"/>
        </w:rPr>
        <w:t>项目（</w:t>
      </w:r>
      <w:proofErr w:type="gramStart"/>
      <w:r w:rsidRPr="008D2911">
        <w:rPr>
          <w:rFonts w:ascii="仿宋_GB2312" w:eastAsia="仿宋_GB2312" w:hint="eastAsia"/>
          <w:sz w:val="32"/>
          <w:szCs w:val="32"/>
        </w:rPr>
        <w:t>含</w:t>
      </w:r>
      <w:r w:rsidRPr="008D2911">
        <w:rPr>
          <w:rFonts w:ascii="仿宋_GB2312" w:eastAsia="仿宋_GB2312" w:hint="eastAsia"/>
          <w:sz w:val="32"/>
          <w:szCs w:val="32"/>
        </w:rPr>
        <w:lastRenderedPageBreak/>
        <w:t>任务</w:t>
      </w:r>
      <w:proofErr w:type="gramEnd"/>
      <w:r w:rsidRPr="008D2911">
        <w:rPr>
          <w:rFonts w:ascii="仿宋_GB2312" w:eastAsia="仿宋_GB2312" w:hint="eastAsia"/>
          <w:sz w:val="32"/>
          <w:szCs w:val="32"/>
        </w:rPr>
        <w:t>或课题）情况，避免重复申报。</w:t>
      </w:r>
    </w:p>
    <w:p w:rsidR="008D2911" w:rsidRPr="008D2911" w:rsidRDefault="008D2911" w:rsidP="008D2911">
      <w:pPr>
        <w:spacing w:line="560" w:lineRule="exact"/>
        <w:ind w:firstLineChars="200" w:firstLine="640"/>
        <w:contextualSpacing/>
        <w:rPr>
          <w:rFonts w:ascii="黑体" w:eastAsia="黑体" w:hAnsi="黑体" w:hint="eastAsia"/>
          <w:sz w:val="32"/>
          <w:szCs w:val="32"/>
        </w:rPr>
      </w:pPr>
      <w:r w:rsidRPr="008D2911">
        <w:rPr>
          <w:rFonts w:ascii="黑体" w:eastAsia="黑体" w:hAnsi="黑体" w:hint="eastAsia"/>
          <w:sz w:val="32"/>
          <w:szCs w:val="32"/>
        </w:rPr>
        <w:t>四、项目管理改革举措</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关于“揭榜挂帅”项目。为切实提升科研投入绩效、强化重大创新成果的“实战性”，“十四五”重点研发计划聚焦国家战略亟需、应用导向鲜明、最终用户明确的攻关任务，设立“揭榜挂帅”项目。突出最终用户作用，实施签订“军令状”“里程碑”考核等管理方式。对揭榜单位无注册时间要求，对揭榜团队负责人无年龄、学历和职称要求，鼓励有信心、有能力组织好关键核心技术攻坚的优势团队积极申报。明确榜单任务资助额度，简化预算编制，经费管理探索实行“负面清单”。</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关于青年科学家项目。为给青年科研人员创造更多机会组织实施国家目标导向的重大研发任务，重点研发计划在更大范围内设立青年科学家项目。根据领域和专项特点，采取专设青年科学家项目或项目下专设青年科学家课题等多种方式。青年科学家项目</w:t>
      </w:r>
      <w:proofErr w:type="gramStart"/>
      <w:r w:rsidRPr="008D2911">
        <w:rPr>
          <w:rFonts w:ascii="仿宋_GB2312" w:eastAsia="仿宋_GB2312" w:hint="eastAsia"/>
          <w:sz w:val="32"/>
          <w:szCs w:val="32"/>
        </w:rPr>
        <w:t>不</w:t>
      </w:r>
      <w:proofErr w:type="gramEnd"/>
      <w:r w:rsidRPr="008D2911">
        <w:rPr>
          <w:rFonts w:ascii="仿宋_GB2312" w:eastAsia="仿宋_GB2312" w:hint="eastAsia"/>
          <w:sz w:val="32"/>
          <w:szCs w:val="32"/>
        </w:rPr>
        <w:t>下设课题，原则上不再组织预算评估，鼓励青年科学家大胆探索更具创新性和颠覆性的新方法、新路径，更好服务于专项总体目标的实现。</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关于部省联动。部分专项任务将结合国家重大战略部署和区域产业发展重大需求，采取部省联动方式实施，由部门和地方共同凝练需求、联合投入、协同管理，地方出台专门政策承接项目成果，在项目组织实施中一体化推动重大科技成果产出和落地转化。</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关于技术就绪度（TRL）管理。针对技术体系清晰、定量</w:t>
      </w:r>
      <w:r w:rsidRPr="008D2911">
        <w:rPr>
          <w:rFonts w:ascii="仿宋_GB2312" w:eastAsia="仿宋_GB2312" w:hint="eastAsia"/>
          <w:sz w:val="32"/>
          <w:szCs w:val="32"/>
        </w:rPr>
        <w:lastRenderedPageBreak/>
        <w:t>考核指标明确的相关任务方向，“十四五”重点研发计划探索实行技术就绪度管理。申报指南中将明确技术就绪度要求，并在后续的评审立项、考核评估中纳入技术就绪度指标，科学设定里程碑考核节点，严格把控项目实施进展和风险，确保成果高质量产出。</w:t>
      </w:r>
    </w:p>
    <w:p w:rsidR="008D2911" w:rsidRPr="008D2911" w:rsidRDefault="008D2911" w:rsidP="008D2911">
      <w:pPr>
        <w:spacing w:line="560" w:lineRule="exact"/>
        <w:ind w:firstLineChars="200" w:firstLine="640"/>
        <w:contextualSpacing/>
        <w:rPr>
          <w:rFonts w:ascii="黑体" w:eastAsia="黑体" w:hAnsi="黑体" w:hint="eastAsia"/>
          <w:sz w:val="32"/>
          <w:szCs w:val="32"/>
        </w:rPr>
      </w:pPr>
      <w:r w:rsidRPr="008D2911">
        <w:rPr>
          <w:rFonts w:ascii="黑体" w:eastAsia="黑体" w:hAnsi="黑体" w:hint="eastAsia"/>
          <w:sz w:val="32"/>
          <w:szCs w:val="32"/>
        </w:rPr>
        <w:t>五、具体申报方式</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1.网上填报。请各申报单位按要求通过国科管系统进行网上填报。专业机构将以网上填报的申报书作为后续形式审查、项目评审的依据。申报材料中所需的附件材料，全部以电子扫描件上传。确因疫情影响暂时无法提供的，请上传依托单位出具的说明材料扫描件，专业机构可根据情况通知补交。</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项目申报单位网上填报（预）申报书的受理时间为：2021年6月3日8:00至7月7日16:00。进入答辩评审环节的申报项目，由申报单位按要求填报正式申报书，并通过国科管系统提交，具体时间和有关要求另行通知。</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2.组织推荐。请各推荐单位于2021年7月15日16:00前通过国科管系统逐项确认推荐项目，并将加盖推荐单位公章的</w:t>
      </w:r>
      <w:proofErr w:type="gramStart"/>
      <w:r w:rsidRPr="008D2911">
        <w:rPr>
          <w:rFonts w:ascii="仿宋_GB2312" w:eastAsia="仿宋_GB2312" w:hint="eastAsia"/>
          <w:sz w:val="32"/>
          <w:szCs w:val="32"/>
        </w:rPr>
        <w:t>推荐函以电子扫描</w:t>
      </w:r>
      <w:proofErr w:type="gramEnd"/>
      <w:r w:rsidRPr="008D2911">
        <w:rPr>
          <w:rFonts w:ascii="仿宋_GB2312" w:eastAsia="仿宋_GB2312" w:hint="eastAsia"/>
          <w:sz w:val="32"/>
          <w:szCs w:val="32"/>
        </w:rPr>
        <w:t>件上传。</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3.技术咨询电话及邮箱：</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010-58882999（中继线），program@istic.ac.cn</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4.业务咨询电话：</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（1）“病原学与防疫技术体系研究”重点专项咨询电话：010-88387119，010-88387129</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lastRenderedPageBreak/>
        <w:t>（2）“长江黄河等重点流域水资源与水环境综合治理”重点专项咨询电话：010-58884866</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（3）“生物安全关键技术研究”重点专项咨询电话：010-88225108</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（4）“生育健康及妇女儿童健康保障”重点专项咨询电话：010-88387119，010-88387129</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（5）“战略性矿产资源开发利用”重点专项咨询电话：010-58884898</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（6）“诊疗装备与生物医用材料”重点专项咨询电话：010-88225137</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（7）“生物与信息融合（BT与IT融合）”重点专项咨询电话：010-88225137</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（8）“常见多发病防治研究”重点专项咨询电话：010-88225198</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（9）“社会治理与智慧社会科技支撑”重点专项咨询电话：010-58884826</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（10）“重大自然灾害防控与公共安全”重点专项咨询电话：010-58884827</w:t>
      </w:r>
    </w:p>
    <w:p w:rsidR="008D2911" w:rsidRPr="008D2911" w:rsidRDefault="008D2911" w:rsidP="008D2911">
      <w:pPr>
        <w:spacing w:line="560" w:lineRule="exact"/>
        <w:ind w:firstLineChars="200" w:firstLine="640"/>
        <w:contextualSpacing/>
        <w:rPr>
          <w:rFonts w:ascii="仿宋_GB2312" w:eastAsia="仿宋_GB2312" w:hint="eastAsia"/>
          <w:sz w:val="32"/>
          <w:szCs w:val="32"/>
        </w:rPr>
      </w:pPr>
      <w:r w:rsidRPr="008D2911">
        <w:rPr>
          <w:rFonts w:ascii="仿宋_GB2312" w:eastAsia="仿宋_GB2312" w:hint="eastAsia"/>
          <w:sz w:val="32"/>
          <w:szCs w:val="32"/>
        </w:rPr>
        <w:t>（11）“国家质量基础设施体系”重点专项咨询电话：010-58884885</w:t>
      </w:r>
    </w:p>
    <w:p w:rsidR="00397530" w:rsidRDefault="008D2911" w:rsidP="008D2911">
      <w:pPr>
        <w:spacing w:line="560" w:lineRule="exact"/>
        <w:ind w:firstLineChars="200" w:firstLine="640"/>
        <w:contextualSpacing/>
        <w:rPr>
          <w:rFonts w:ascii="仿宋_GB2312" w:eastAsia="仿宋_GB2312"/>
          <w:sz w:val="32"/>
          <w:szCs w:val="32"/>
        </w:rPr>
      </w:pPr>
      <w:r w:rsidRPr="008D2911">
        <w:rPr>
          <w:rFonts w:ascii="仿宋_GB2312" w:eastAsia="仿宋_GB2312" w:hint="eastAsia"/>
          <w:sz w:val="32"/>
          <w:szCs w:val="32"/>
        </w:rPr>
        <w:t>（12）“基础科研条件与重大科学仪器设备研发”重点专项咨询电话：010-58884885</w:t>
      </w:r>
    </w:p>
    <w:p w:rsidR="00293DC3" w:rsidRDefault="00293DC3" w:rsidP="008D2911">
      <w:pPr>
        <w:spacing w:line="560" w:lineRule="exact"/>
        <w:ind w:firstLineChars="200" w:firstLine="640"/>
        <w:contextualSpacing/>
        <w:rPr>
          <w:rFonts w:ascii="仿宋_GB2312" w:eastAsia="仿宋_GB2312"/>
          <w:sz w:val="32"/>
          <w:szCs w:val="32"/>
        </w:rPr>
      </w:pPr>
    </w:p>
    <w:p w:rsidR="00293DC3" w:rsidRDefault="00293DC3" w:rsidP="008D2911">
      <w:pPr>
        <w:spacing w:line="560" w:lineRule="exact"/>
        <w:ind w:firstLineChars="200" w:firstLine="640"/>
        <w:contextualSpacing/>
        <w:rPr>
          <w:rFonts w:ascii="仿宋_GB2312" w:eastAsia="仿宋_GB2312"/>
          <w:sz w:val="32"/>
          <w:szCs w:val="32"/>
        </w:rPr>
      </w:pPr>
      <w:bookmarkStart w:id="0" w:name="_GoBack"/>
      <w:bookmarkEnd w:id="0"/>
    </w:p>
    <w:p w:rsidR="00293DC3" w:rsidRPr="00293DC3" w:rsidRDefault="00293DC3" w:rsidP="008D2911">
      <w:pPr>
        <w:spacing w:line="560" w:lineRule="exact"/>
        <w:ind w:firstLineChars="200" w:firstLine="640"/>
        <w:contextualSpacing/>
        <w:rPr>
          <w:rFonts w:ascii="仿宋_GB2312" w:eastAsia="仿宋_GB2312"/>
          <w:color w:val="FF0000"/>
          <w:sz w:val="32"/>
          <w:szCs w:val="32"/>
        </w:rPr>
      </w:pPr>
      <w:r w:rsidRPr="00293DC3">
        <w:rPr>
          <w:rFonts w:ascii="仿宋_GB2312" w:eastAsia="仿宋_GB2312" w:hint="eastAsia"/>
          <w:color w:val="FF0000"/>
          <w:sz w:val="32"/>
          <w:szCs w:val="32"/>
        </w:rPr>
        <w:lastRenderedPageBreak/>
        <w:t>科技</w:t>
      </w:r>
      <w:r w:rsidRPr="00293DC3">
        <w:rPr>
          <w:rFonts w:ascii="仿宋_GB2312" w:eastAsia="仿宋_GB2312"/>
          <w:color w:val="FF0000"/>
          <w:sz w:val="32"/>
          <w:szCs w:val="32"/>
        </w:rPr>
        <w:t>部通知网址：</w:t>
      </w:r>
    </w:p>
    <w:p w:rsidR="00293DC3" w:rsidRPr="00293DC3" w:rsidRDefault="00293DC3" w:rsidP="008D2911">
      <w:pPr>
        <w:spacing w:line="560" w:lineRule="exact"/>
        <w:ind w:firstLineChars="200" w:firstLine="640"/>
        <w:contextualSpacing/>
        <w:rPr>
          <w:rFonts w:ascii="仿宋_GB2312" w:eastAsia="仿宋_GB2312" w:hint="eastAsia"/>
          <w:color w:val="FF0000"/>
          <w:sz w:val="32"/>
          <w:szCs w:val="32"/>
        </w:rPr>
      </w:pPr>
      <w:hyperlink r:id="rId4" w:history="1">
        <w:r w:rsidRPr="00293DC3">
          <w:rPr>
            <w:rStyle w:val="a3"/>
            <w:rFonts w:ascii="仿宋_GB2312" w:eastAsia="仿宋_GB2312"/>
            <w:color w:val="FF0000"/>
            <w:sz w:val="32"/>
            <w:szCs w:val="32"/>
          </w:rPr>
          <w:t>https://service.m</w:t>
        </w:r>
        <w:r w:rsidRPr="00293DC3">
          <w:rPr>
            <w:rStyle w:val="a3"/>
            <w:rFonts w:ascii="仿宋_GB2312" w:eastAsia="仿宋_GB2312"/>
            <w:color w:val="FF0000"/>
            <w:sz w:val="32"/>
            <w:szCs w:val="32"/>
          </w:rPr>
          <w:t>o</w:t>
        </w:r>
        <w:r w:rsidRPr="00293DC3">
          <w:rPr>
            <w:rStyle w:val="a3"/>
            <w:rFonts w:ascii="仿宋_GB2312" w:eastAsia="仿宋_GB2312"/>
            <w:color w:val="FF0000"/>
            <w:sz w:val="32"/>
            <w:szCs w:val="32"/>
          </w:rPr>
          <w:t>st.gov.cn/kjjh_tztg_all/20210517/4307.html</w:t>
        </w:r>
      </w:hyperlink>
    </w:p>
    <w:sectPr w:rsidR="00293DC3" w:rsidRPr="00293D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911"/>
    <w:rsid w:val="00293DC3"/>
    <w:rsid w:val="00397530"/>
    <w:rsid w:val="008D2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2E193-68F4-4027-BFAC-27BFCF4A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3DC3"/>
    <w:rPr>
      <w:color w:val="0563C1" w:themeColor="hyperlink"/>
      <w:u w:val="single"/>
    </w:rPr>
  </w:style>
  <w:style w:type="character" w:styleId="a4">
    <w:name w:val="FollowedHyperlink"/>
    <w:basedOn w:val="a0"/>
    <w:uiPriority w:val="99"/>
    <w:semiHidden/>
    <w:unhideWhenUsed/>
    <w:rsid w:val="00293D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493539">
      <w:bodyDiv w:val="1"/>
      <w:marLeft w:val="0"/>
      <w:marRight w:val="0"/>
      <w:marTop w:val="0"/>
      <w:marBottom w:val="0"/>
      <w:divBdr>
        <w:top w:val="none" w:sz="0" w:space="0" w:color="auto"/>
        <w:left w:val="none" w:sz="0" w:space="0" w:color="auto"/>
        <w:bottom w:val="none" w:sz="0" w:space="0" w:color="auto"/>
        <w:right w:val="none" w:sz="0" w:space="0" w:color="auto"/>
      </w:divBdr>
      <w:divsChild>
        <w:div w:id="1371419277">
          <w:marLeft w:val="0"/>
          <w:marRight w:val="0"/>
          <w:marTop w:val="0"/>
          <w:marBottom w:val="300"/>
          <w:divBdr>
            <w:top w:val="none" w:sz="0" w:space="0" w:color="auto"/>
            <w:left w:val="none" w:sz="0" w:space="0" w:color="auto"/>
            <w:bottom w:val="dashed" w:sz="6" w:space="0" w:color="999999"/>
            <w:right w:val="none" w:sz="0" w:space="0" w:color="auto"/>
          </w:divBdr>
        </w:div>
        <w:div w:id="1827739045">
          <w:marLeft w:val="0"/>
          <w:marRight w:val="0"/>
          <w:marTop w:val="0"/>
          <w:marBottom w:val="0"/>
          <w:divBdr>
            <w:top w:val="none" w:sz="0" w:space="0" w:color="auto"/>
            <w:left w:val="none" w:sz="0" w:space="0" w:color="auto"/>
            <w:bottom w:val="none" w:sz="0" w:space="0" w:color="auto"/>
            <w:right w:val="none" w:sz="0" w:space="0" w:color="auto"/>
          </w:divBdr>
          <w:divsChild>
            <w:div w:id="1830058567">
              <w:marLeft w:val="0"/>
              <w:marRight w:val="0"/>
              <w:marTop w:val="0"/>
              <w:marBottom w:val="0"/>
              <w:divBdr>
                <w:top w:val="none" w:sz="0" w:space="0" w:color="auto"/>
                <w:left w:val="none" w:sz="0" w:space="0" w:color="auto"/>
                <w:bottom w:val="none" w:sz="0" w:space="0" w:color="auto"/>
                <w:right w:val="none" w:sz="0" w:space="0" w:color="auto"/>
              </w:divBdr>
            </w:div>
            <w:div w:id="515189924">
              <w:marLeft w:val="0"/>
              <w:marRight w:val="0"/>
              <w:marTop w:val="0"/>
              <w:marBottom w:val="0"/>
              <w:divBdr>
                <w:top w:val="none" w:sz="0" w:space="0" w:color="auto"/>
                <w:left w:val="none" w:sz="0" w:space="0" w:color="auto"/>
                <w:bottom w:val="none" w:sz="0" w:space="0" w:color="auto"/>
                <w:right w:val="none" w:sz="0" w:space="0" w:color="auto"/>
              </w:divBdr>
            </w:div>
            <w:div w:id="569272429">
              <w:marLeft w:val="0"/>
              <w:marRight w:val="0"/>
              <w:marTop w:val="0"/>
              <w:marBottom w:val="0"/>
              <w:divBdr>
                <w:top w:val="none" w:sz="0" w:space="0" w:color="auto"/>
                <w:left w:val="none" w:sz="0" w:space="0" w:color="auto"/>
                <w:bottom w:val="none" w:sz="0" w:space="0" w:color="auto"/>
                <w:right w:val="none" w:sz="0" w:space="0" w:color="auto"/>
              </w:divBdr>
            </w:div>
            <w:div w:id="997801533">
              <w:marLeft w:val="0"/>
              <w:marRight w:val="0"/>
              <w:marTop w:val="0"/>
              <w:marBottom w:val="0"/>
              <w:divBdr>
                <w:top w:val="none" w:sz="0" w:space="0" w:color="auto"/>
                <w:left w:val="none" w:sz="0" w:space="0" w:color="auto"/>
                <w:bottom w:val="none" w:sz="0" w:space="0" w:color="auto"/>
                <w:right w:val="none" w:sz="0" w:space="0" w:color="auto"/>
              </w:divBdr>
            </w:div>
            <w:div w:id="1175992550">
              <w:marLeft w:val="0"/>
              <w:marRight w:val="0"/>
              <w:marTop w:val="0"/>
              <w:marBottom w:val="0"/>
              <w:divBdr>
                <w:top w:val="none" w:sz="0" w:space="0" w:color="auto"/>
                <w:left w:val="none" w:sz="0" w:space="0" w:color="auto"/>
                <w:bottom w:val="none" w:sz="0" w:space="0" w:color="auto"/>
                <w:right w:val="none" w:sz="0" w:space="0" w:color="auto"/>
              </w:divBdr>
            </w:div>
            <w:div w:id="2028094725">
              <w:marLeft w:val="0"/>
              <w:marRight w:val="0"/>
              <w:marTop w:val="0"/>
              <w:marBottom w:val="0"/>
              <w:divBdr>
                <w:top w:val="none" w:sz="0" w:space="0" w:color="auto"/>
                <w:left w:val="none" w:sz="0" w:space="0" w:color="auto"/>
                <w:bottom w:val="none" w:sz="0" w:space="0" w:color="auto"/>
                <w:right w:val="none" w:sz="0" w:space="0" w:color="auto"/>
              </w:divBdr>
            </w:div>
            <w:div w:id="2061518887">
              <w:marLeft w:val="0"/>
              <w:marRight w:val="0"/>
              <w:marTop w:val="0"/>
              <w:marBottom w:val="0"/>
              <w:divBdr>
                <w:top w:val="none" w:sz="0" w:space="0" w:color="auto"/>
                <w:left w:val="none" w:sz="0" w:space="0" w:color="auto"/>
                <w:bottom w:val="none" w:sz="0" w:space="0" w:color="auto"/>
                <w:right w:val="none" w:sz="0" w:space="0" w:color="auto"/>
              </w:divBdr>
            </w:div>
            <w:div w:id="631594077">
              <w:marLeft w:val="0"/>
              <w:marRight w:val="0"/>
              <w:marTop w:val="0"/>
              <w:marBottom w:val="0"/>
              <w:divBdr>
                <w:top w:val="none" w:sz="0" w:space="0" w:color="auto"/>
                <w:left w:val="none" w:sz="0" w:space="0" w:color="auto"/>
                <w:bottom w:val="none" w:sz="0" w:space="0" w:color="auto"/>
                <w:right w:val="none" w:sz="0" w:space="0" w:color="auto"/>
              </w:divBdr>
            </w:div>
            <w:div w:id="1945307499">
              <w:marLeft w:val="0"/>
              <w:marRight w:val="0"/>
              <w:marTop w:val="0"/>
              <w:marBottom w:val="0"/>
              <w:divBdr>
                <w:top w:val="none" w:sz="0" w:space="0" w:color="auto"/>
                <w:left w:val="none" w:sz="0" w:space="0" w:color="auto"/>
                <w:bottom w:val="none" w:sz="0" w:space="0" w:color="auto"/>
                <w:right w:val="none" w:sz="0" w:space="0" w:color="auto"/>
              </w:divBdr>
            </w:div>
            <w:div w:id="1197154899">
              <w:marLeft w:val="0"/>
              <w:marRight w:val="0"/>
              <w:marTop w:val="0"/>
              <w:marBottom w:val="0"/>
              <w:divBdr>
                <w:top w:val="none" w:sz="0" w:space="0" w:color="auto"/>
                <w:left w:val="none" w:sz="0" w:space="0" w:color="auto"/>
                <w:bottom w:val="none" w:sz="0" w:space="0" w:color="auto"/>
                <w:right w:val="none" w:sz="0" w:space="0" w:color="auto"/>
              </w:divBdr>
            </w:div>
            <w:div w:id="1347905911">
              <w:marLeft w:val="0"/>
              <w:marRight w:val="0"/>
              <w:marTop w:val="0"/>
              <w:marBottom w:val="0"/>
              <w:divBdr>
                <w:top w:val="none" w:sz="0" w:space="0" w:color="auto"/>
                <w:left w:val="none" w:sz="0" w:space="0" w:color="auto"/>
                <w:bottom w:val="none" w:sz="0" w:space="0" w:color="auto"/>
                <w:right w:val="none" w:sz="0" w:space="0" w:color="auto"/>
              </w:divBdr>
            </w:div>
            <w:div w:id="375009522">
              <w:marLeft w:val="0"/>
              <w:marRight w:val="0"/>
              <w:marTop w:val="0"/>
              <w:marBottom w:val="0"/>
              <w:divBdr>
                <w:top w:val="none" w:sz="0" w:space="0" w:color="auto"/>
                <w:left w:val="none" w:sz="0" w:space="0" w:color="auto"/>
                <w:bottom w:val="none" w:sz="0" w:space="0" w:color="auto"/>
                <w:right w:val="none" w:sz="0" w:space="0" w:color="auto"/>
              </w:divBdr>
            </w:div>
            <w:div w:id="981425560">
              <w:marLeft w:val="0"/>
              <w:marRight w:val="0"/>
              <w:marTop w:val="0"/>
              <w:marBottom w:val="0"/>
              <w:divBdr>
                <w:top w:val="none" w:sz="0" w:space="0" w:color="auto"/>
                <w:left w:val="none" w:sz="0" w:space="0" w:color="auto"/>
                <w:bottom w:val="none" w:sz="0" w:space="0" w:color="auto"/>
                <w:right w:val="none" w:sz="0" w:space="0" w:color="auto"/>
              </w:divBdr>
            </w:div>
            <w:div w:id="571740005">
              <w:marLeft w:val="0"/>
              <w:marRight w:val="0"/>
              <w:marTop w:val="0"/>
              <w:marBottom w:val="0"/>
              <w:divBdr>
                <w:top w:val="none" w:sz="0" w:space="0" w:color="auto"/>
                <w:left w:val="none" w:sz="0" w:space="0" w:color="auto"/>
                <w:bottom w:val="none" w:sz="0" w:space="0" w:color="auto"/>
                <w:right w:val="none" w:sz="0" w:space="0" w:color="auto"/>
              </w:divBdr>
            </w:div>
            <w:div w:id="278222241">
              <w:marLeft w:val="0"/>
              <w:marRight w:val="0"/>
              <w:marTop w:val="0"/>
              <w:marBottom w:val="0"/>
              <w:divBdr>
                <w:top w:val="none" w:sz="0" w:space="0" w:color="auto"/>
                <w:left w:val="none" w:sz="0" w:space="0" w:color="auto"/>
                <w:bottom w:val="none" w:sz="0" w:space="0" w:color="auto"/>
                <w:right w:val="none" w:sz="0" w:space="0" w:color="auto"/>
              </w:divBdr>
            </w:div>
            <w:div w:id="460995482">
              <w:marLeft w:val="0"/>
              <w:marRight w:val="0"/>
              <w:marTop w:val="0"/>
              <w:marBottom w:val="0"/>
              <w:divBdr>
                <w:top w:val="none" w:sz="0" w:space="0" w:color="auto"/>
                <w:left w:val="none" w:sz="0" w:space="0" w:color="auto"/>
                <w:bottom w:val="none" w:sz="0" w:space="0" w:color="auto"/>
                <w:right w:val="none" w:sz="0" w:space="0" w:color="auto"/>
              </w:divBdr>
            </w:div>
            <w:div w:id="289820761">
              <w:marLeft w:val="0"/>
              <w:marRight w:val="0"/>
              <w:marTop w:val="0"/>
              <w:marBottom w:val="0"/>
              <w:divBdr>
                <w:top w:val="none" w:sz="0" w:space="0" w:color="auto"/>
                <w:left w:val="none" w:sz="0" w:space="0" w:color="auto"/>
                <w:bottom w:val="none" w:sz="0" w:space="0" w:color="auto"/>
                <w:right w:val="none" w:sz="0" w:space="0" w:color="auto"/>
              </w:divBdr>
            </w:div>
            <w:div w:id="306784531">
              <w:marLeft w:val="0"/>
              <w:marRight w:val="0"/>
              <w:marTop w:val="0"/>
              <w:marBottom w:val="0"/>
              <w:divBdr>
                <w:top w:val="none" w:sz="0" w:space="0" w:color="auto"/>
                <w:left w:val="none" w:sz="0" w:space="0" w:color="auto"/>
                <w:bottom w:val="none" w:sz="0" w:space="0" w:color="auto"/>
                <w:right w:val="none" w:sz="0" w:space="0" w:color="auto"/>
              </w:divBdr>
            </w:div>
            <w:div w:id="1398165333">
              <w:marLeft w:val="0"/>
              <w:marRight w:val="0"/>
              <w:marTop w:val="0"/>
              <w:marBottom w:val="0"/>
              <w:divBdr>
                <w:top w:val="none" w:sz="0" w:space="0" w:color="auto"/>
                <w:left w:val="none" w:sz="0" w:space="0" w:color="auto"/>
                <w:bottom w:val="none" w:sz="0" w:space="0" w:color="auto"/>
                <w:right w:val="none" w:sz="0" w:space="0" w:color="auto"/>
              </w:divBdr>
            </w:div>
            <w:div w:id="152989335">
              <w:marLeft w:val="0"/>
              <w:marRight w:val="0"/>
              <w:marTop w:val="0"/>
              <w:marBottom w:val="0"/>
              <w:divBdr>
                <w:top w:val="none" w:sz="0" w:space="0" w:color="auto"/>
                <w:left w:val="none" w:sz="0" w:space="0" w:color="auto"/>
                <w:bottom w:val="none" w:sz="0" w:space="0" w:color="auto"/>
                <w:right w:val="none" w:sz="0" w:space="0" w:color="auto"/>
              </w:divBdr>
            </w:div>
            <w:div w:id="1333411221">
              <w:marLeft w:val="0"/>
              <w:marRight w:val="0"/>
              <w:marTop w:val="0"/>
              <w:marBottom w:val="0"/>
              <w:divBdr>
                <w:top w:val="none" w:sz="0" w:space="0" w:color="auto"/>
                <w:left w:val="none" w:sz="0" w:space="0" w:color="auto"/>
                <w:bottom w:val="none" w:sz="0" w:space="0" w:color="auto"/>
                <w:right w:val="none" w:sz="0" w:space="0" w:color="auto"/>
              </w:divBdr>
            </w:div>
            <w:div w:id="286279294">
              <w:marLeft w:val="0"/>
              <w:marRight w:val="0"/>
              <w:marTop w:val="0"/>
              <w:marBottom w:val="0"/>
              <w:divBdr>
                <w:top w:val="none" w:sz="0" w:space="0" w:color="auto"/>
                <w:left w:val="none" w:sz="0" w:space="0" w:color="auto"/>
                <w:bottom w:val="none" w:sz="0" w:space="0" w:color="auto"/>
                <w:right w:val="none" w:sz="0" w:space="0" w:color="auto"/>
              </w:divBdr>
            </w:div>
            <w:div w:id="1884361601">
              <w:marLeft w:val="0"/>
              <w:marRight w:val="0"/>
              <w:marTop w:val="0"/>
              <w:marBottom w:val="0"/>
              <w:divBdr>
                <w:top w:val="none" w:sz="0" w:space="0" w:color="auto"/>
                <w:left w:val="none" w:sz="0" w:space="0" w:color="auto"/>
                <w:bottom w:val="none" w:sz="0" w:space="0" w:color="auto"/>
                <w:right w:val="none" w:sz="0" w:space="0" w:color="auto"/>
              </w:divBdr>
            </w:div>
            <w:div w:id="1343970221">
              <w:marLeft w:val="0"/>
              <w:marRight w:val="0"/>
              <w:marTop w:val="0"/>
              <w:marBottom w:val="0"/>
              <w:divBdr>
                <w:top w:val="none" w:sz="0" w:space="0" w:color="auto"/>
                <w:left w:val="none" w:sz="0" w:space="0" w:color="auto"/>
                <w:bottom w:val="none" w:sz="0" w:space="0" w:color="auto"/>
                <w:right w:val="none" w:sz="0" w:space="0" w:color="auto"/>
              </w:divBdr>
            </w:div>
            <w:div w:id="780762126">
              <w:marLeft w:val="0"/>
              <w:marRight w:val="0"/>
              <w:marTop w:val="0"/>
              <w:marBottom w:val="0"/>
              <w:divBdr>
                <w:top w:val="none" w:sz="0" w:space="0" w:color="auto"/>
                <w:left w:val="none" w:sz="0" w:space="0" w:color="auto"/>
                <w:bottom w:val="none" w:sz="0" w:space="0" w:color="auto"/>
                <w:right w:val="none" w:sz="0" w:space="0" w:color="auto"/>
              </w:divBdr>
            </w:div>
            <w:div w:id="1095320511">
              <w:marLeft w:val="0"/>
              <w:marRight w:val="0"/>
              <w:marTop w:val="0"/>
              <w:marBottom w:val="0"/>
              <w:divBdr>
                <w:top w:val="none" w:sz="0" w:space="0" w:color="auto"/>
                <w:left w:val="none" w:sz="0" w:space="0" w:color="auto"/>
                <w:bottom w:val="none" w:sz="0" w:space="0" w:color="auto"/>
                <w:right w:val="none" w:sz="0" w:space="0" w:color="auto"/>
              </w:divBdr>
            </w:div>
            <w:div w:id="98109757">
              <w:marLeft w:val="0"/>
              <w:marRight w:val="0"/>
              <w:marTop w:val="0"/>
              <w:marBottom w:val="0"/>
              <w:divBdr>
                <w:top w:val="none" w:sz="0" w:space="0" w:color="auto"/>
                <w:left w:val="none" w:sz="0" w:space="0" w:color="auto"/>
                <w:bottom w:val="none" w:sz="0" w:space="0" w:color="auto"/>
                <w:right w:val="none" w:sz="0" w:space="0" w:color="auto"/>
              </w:divBdr>
            </w:div>
            <w:div w:id="1844970947">
              <w:marLeft w:val="0"/>
              <w:marRight w:val="0"/>
              <w:marTop w:val="0"/>
              <w:marBottom w:val="0"/>
              <w:divBdr>
                <w:top w:val="none" w:sz="0" w:space="0" w:color="auto"/>
                <w:left w:val="none" w:sz="0" w:space="0" w:color="auto"/>
                <w:bottom w:val="none" w:sz="0" w:space="0" w:color="auto"/>
                <w:right w:val="none" w:sz="0" w:space="0" w:color="auto"/>
              </w:divBdr>
            </w:div>
            <w:div w:id="150949809">
              <w:marLeft w:val="0"/>
              <w:marRight w:val="0"/>
              <w:marTop w:val="0"/>
              <w:marBottom w:val="0"/>
              <w:divBdr>
                <w:top w:val="none" w:sz="0" w:space="0" w:color="auto"/>
                <w:left w:val="none" w:sz="0" w:space="0" w:color="auto"/>
                <w:bottom w:val="none" w:sz="0" w:space="0" w:color="auto"/>
                <w:right w:val="none" w:sz="0" w:space="0" w:color="auto"/>
              </w:divBdr>
            </w:div>
            <w:div w:id="1547335057">
              <w:marLeft w:val="0"/>
              <w:marRight w:val="0"/>
              <w:marTop w:val="0"/>
              <w:marBottom w:val="0"/>
              <w:divBdr>
                <w:top w:val="none" w:sz="0" w:space="0" w:color="auto"/>
                <w:left w:val="none" w:sz="0" w:space="0" w:color="auto"/>
                <w:bottom w:val="none" w:sz="0" w:space="0" w:color="auto"/>
                <w:right w:val="none" w:sz="0" w:space="0" w:color="auto"/>
              </w:divBdr>
            </w:div>
            <w:div w:id="1610620448">
              <w:marLeft w:val="0"/>
              <w:marRight w:val="0"/>
              <w:marTop w:val="0"/>
              <w:marBottom w:val="0"/>
              <w:divBdr>
                <w:top w:val="none" w:sz="0" w:space="0" w:color="auto"/>
                <w:left w:val="none" w:sz="0" w:space="0" w:color="auto"/>
                <w:bottom w:val="none" w:sz="0" w:space="0" w:color="auto"/>
                <w:right w:val="none" w:sz="0" w:space="0" w:color="auto"/>
              </w:divBdr>
            </w:div>
            <w:div w:id="818107263">
              <w:marLeft w:val="0"/>
              <w:marRight w:val="0"/>
              <w:marTop w:val="0"/>
              <w:marBottom w:val="0"/>
              <w:divBdr>
                <w:top w:val="none" w:sz="0" w:space="0" w:color="auto"/>
                <w:left w:val="none" w:sz="0" w:space="0" w:color="auto"/>
                <w:bottom w:val="none" w:sz="0" w:space="0" w:color="auto"/>
                <w:right w:val="none" w:sz="0" w:space="0" w:color="auto"/>
              </w:divBdr>
            </w:div>
            <w:div w:id="1082677032">
              <w:marLeft w:val="0"/>
              <w:marRight w:val="0"/>
              <w:marTop w:val="0"/>
              <w:marBottom w:val="0"/>
              <w:divBdr>
                <w:top w:val="none" w:sz="0" w:space="0" w:color="auto"/>
                <w:left w:val="none" w:sz="0" w:space="0" w:color="auto"/>
                <w:bottom w:val="none" w:sz="0" w:space="0" w:color="auto"/>
                <w:right w:val="none" w:sz="0" w:space="0" w:color="auto"/>
              </w:divBdr>
            </w:div>
            <w:div w:id="687217553">
              <w:marLeft w:val="0"/>
              <w:marRight w:val="0"/>
              <w:marTop w:val="0"/>
              <w:marBottom w:val="0"/>
              <w:divBdr>
                <w:top w:val="none" w:sz="0" w:space="0" w:color="auto"/>
                <w:left w:val="none" w:sz="0" w:space="0" w:color="auto"/>
                <w:bottom w:val="none" w:sz="0" w:space="0" w:color="auto"/>
                <w:right w:val="none" w:sz="0" w:space="0" w:color="auto"/>
              </w:divBdr>
            </w:div>
            <w:div w:id="360329158">
              <w:marLeft w:val="0"/>
              <w:marRight w:val="0"/>
              <w:marTop w:val="0"/>
              <w:marBottom w:val="0"/>
              <w:divBdr>
                <w:top w:val="none" w:sz="0" w:space="0" w:color="auto"/>
                <w:left w:val="none" w:sz="0" w:space="0" w:color="auto"/>
                <w:bottom w:val="none" w:sz="0" w:space="0" w:color="auto"/>
                <w:right w:val="none" w:sz="0" w:space="0" w:color="auto"/>
              </w:divBdr>
            </w:div>
            <w:div w:id="1555194369">
              <w:marLeft w:val="0"/>
              <w:marRight w:val="0"/>
              <w:marTop w:val="0"/>
              <w:marBottom w:val="0"/>
              <w:divBdr>
                <w:top w:val="none" w:sz="0" w:space="0" w:color="auto"/>
                <w:left w:val="none" w:sz="0" w:space="0" w:color="auto"/>
                <w:bottom w:val="none" w:sz="0" w:space="0" w:color="auto"/>
                <w:right w:val="none" w:sz="0" w:space="0" w:color="auto"/>
              </w:divBdr>
            </w:div>
            <w:div w:id="1429733604">
              <w:marLeft w:val="0"/>
              <w:marRight w:val="0"/>
              <w:marTop w:val="0"/>
              <w:marBottom w:val="0"/>
              <w:divBdr>
                <w:top w:val="none" w:sz="0" w:space="0" w:color="auto"/>
                <w:left w:val="none" w:sz="0" w:space="0" w:color="auto"/>
                <w:bottom w:val="none" w:sz="0" w:space="0" w:color="auto"/>
                <w:right w:val="none" w:sz="0" w:space="0" w:color="auto"/>
              </w:divBdr>
            </w:div>
            <w:div w:id="660356293">
              <w:marLeft w:val="0"/>
              <w:marRight w:val="0"/>
              <w:marTop w:val="0"/>
              <w:marBottom w:val="0"/>
              <w:divBdr>
                <w:top w:val="none" w:sz="0" w:space="0" w:color="auto"/>
                <w:left w:val="none" w:sz="0" w:space="0" w:color="auto"/>
                <w:bottom w:val="none" w:sz="0" w:space="0" w:color="auto"/>
                <w:right w:val="none" w:sz="0" w:space="0" w:color="auto"/>
              </w:divBdr>
            </w:div>
            <w:div w:id="1919630865">
              <w:marLeft w:val="0"/>
              <w:marRight w:val="0"/>
              <w:marTop w:val="0"/>
              <w:marBottom w:val="0"/>
              <w:divBdr>
                <w:top w:val="none" w:sz="0" w:space="0" w:color="auto"/>
                <w:left w:val="none" w:sz="0" w:space="0" w:color="auto"/>
                <w:bottom w:val="none" w:sz="0" w:space="0" w:color="auto"/>
                <w:right w:val="none" w:sz="0" w:space="0" w:color="auto"/>
              </w:divBdr>
            </w:div>
            <w:div w:id="617879912">
              <w:marLeft w:val="0"/>
              <w:marRight w:val="0"/>
              <w:marTop w:val="0"/>
              <w:marBottom w:val="0"/>
              <w:divBdr>
                <w:top w:val="none" w:sz="0" w:space="0" w:color="auto"/>
                <w:left w:val="none" w:sz="0" w:space="0" w:color="auto"/>
                <w:bottom w:val="none" w:sz="0" w:space="0" w:color="auto"/>
                <w:right w:val="none" w:sz="0" w:space="0" w:color="auto"/>
              </w:divBdr>
            </w:div>
            <w:div w:id="1057584194">
              <w:marLeft w:val="0"/>
              <w:marRight w:val="0"/>
              <w:marTop w:val="0"/>
              <w:marBottom w:val="0"/>
              <w:divBdr>
                <w:top w:val="none" w:sz="0" w:space="0" w:color="auto"/>
                <w:left w:val="none" w:sz="0" w:space="0" w:color="auto"/>
                <w:bottom w:val="none" w:sz="0" w:space="0" w:color="auto"/>
                <w:right w:val="none" w:sz="0" w:space="0" w:color="auto"/>
              </w:divBdr>
            </w:div>
            <w:div w:id="776028388">
              <w:marLeft w:val="0"/>
              <w:marRight w:val="0"/>
              <w:marTop w:val="0"/>
              <w:marBottom w:val="0"/>
              <w:divBdr>
                <w:top w:val="none" w:sz="0" w:space="0" w:color="auto"/>
                <w:left w:val="none" w:sz="0" w:space="0" w:color="auto"/>
                <w:bottom w:val="none" w:sz="0" w:space="0" w:color="auto"/>
                <w:right w:val="none" w:sz="0" w:space="0" w:color="auto"/>
              </w:divBdr>
            </w:div>
            <w:div w:id="319306652">
              <w:marLeft w:val="0"/>
              <w:marRight w:val="0"/>
              <w:marTop w:val="0"/>
              <w:marBottom w:val="0"/>
              <w:divBdr>
                <w:top w:val="none" w:sz="0" w:space="0" w:color="auto"/>
                <w:left w:val="none" w:sz="0" w:space="0" w:color="auto"/>
                <w:bottom w:val="none" w:sz="0" w:space="0" w:color="auto"/>
                <w:right w:val="none" w:sz="0" w:space="0" w:color="auto"/>
              </w:divBdr>
            </w:div>
            <w:div w:id="1476676739">
              <w:marLeft w:val="0"/>
              <w:marRight w:val="0"/>
              <w:marTop w:val="0"/>
              <w:marBottom w:val="0"/>
              <w:divBdr>
                <w:top w:val="none" w:sz="0" w:space="0" w:color="auto"/>
                <w:left w:val="none" w:sz="0" w:space="0" w:color="auto"/>
                <w:bottom w:val="none" w:sz="0" w:space="0" w:color="auto"/>
                <w:right w:val="none" w:sz="0" w:space="0" w:color="auto"/>
              </w:divBdr>
            </w:div>
            <w:div w:id="1705448644">
              <w:marLeft w:val="0"/>
              <w:marRight w:val="0"/>
              <w:marTop w:val="0"/>
              <w:marBottom w:val="0"/>
              <w:divBdr>
                <w:top w:val="none" w:sz="0" w:space="0" w:color="auto"/>
                <w:left w:val="none" w:sz="0" w:space="0" w:color="auto"/>
                <w:bottom w:val="none" w:sz="0" w:space="0" w:color="auto"/>
                <w:right w:val="none" w:sz="0" w:space="0" w:color="auto"/>
              </w:divBdr>
            </w:div>
            <w:div w:id="707218869">
              <w:marLeft w:val="0"/>
              <w:marRight w:val="0"/>
              <w:marTop w:val="0"/>
              <w:marBottom w:val="0"/>
              <w:divBdr>
                <w:top w:val="none" w:sz="0" w:space="0" w:color="auto"/>
                <w:left w:val="none" w:sz="0" w:space="0" w:color="auto"/>
                <w:bottom w:val="none" w:sz="0" w:space="0" w:color="auto"/>
                <w:right w:val="none" w:sz="0" w:space="0" w:color="auto"/>
              </w:divBdr>
            </w:div>
            <w:div w:id="1099520983">
              <w:marLeft w:val="0"/>
              <w:marRight w:val="0"/>
              <w:marTop w:val="0"/>
              <w:marBottom w:val="0"/>
              <w:divBdr>
                <w:top w:val="none" w:sz="0" w:space="0" w:color="auto"/>
                <w:left w:val="none" w:sz="0" w:space="0" w:color="auto"/>
                <w:bottom w:val="none" w:sz="0" w:space="0" w:color="auto"/>
                <w:right w:val="none" w:sz="0" w:space="0" w:color="auto"/>
              </w:divBdr>
            </w:div>
            <w:div w:id="1713461547">
              <w:marLeft w:val="0"/>
              <w:marRight w:val="0"/>
              <w:marTop w:val="0"/>
              <w:marBottom w:val="0"/>
              <w:divBdr>
                <w:top w:val="none" w:sz="0" w:space="0" w:color="auto"/>
                <w:left w:val="none" w:sz="0" w:space="0" w:color="auto"/>
                <w:bottom w:val="none" w:sz="0" w:space="0" w:color="auto"/>
                <w:right w:val="none" w:sz="0" w:space="0" w:color="auto"/>
              </w:divBdr>
            </w:div>
            <w:div w:id="1545560649">
              <w:marLeft w:val="0"/>
              <w:marRight w:val="0"/>
              <w:marTop w:val="0"/>
              <w:marBottom w:val="0"/>
              <w:divBdr>
                <w:top w:val="none" w:sz="0" w:space="0" w:color="auto"/>
                <w:left w:val="none" w:sz="0" w:space="0" w:color="auto"/>
                <w:bottom w:val="none" w:sz="0" w:space="0" w:color="auto"/>
                <w:right w:val="none" w:sz="0" w:space="0" w:color="auto"/>
              </w:divBdr>
            </w:div>
            <w:div w:id="597447741">
              <w:marLeft w:val="0"/>
              <w:marRight w:val="0"/>
              <w:marTop w:val="0"/>
              <w:marBottom w:val="0"/>
              <w:divBdr>
                <w:top w:val="none" w:sz="0" w:space="0" w:color="auto"/>
                <w:left w:val="none" w:sz="0" w:space="0" w:color="auto"/>
                <w:bottom w:val="none" w:sz="0" w:space="0" w:color="auto"/>
                <w:right w:val="none" w:sz="0" w:space="0" w:color="auto"/>
              </w:divBdr>
            </w:div>
            <w:div w:id="1404060133">
              <w:marLeft w:val="0"/>
              <w:marRight w:val="0"/>
              <w:marTop w:val="0"/>
              <w:marBottom w:val="0"/>
              <w:divBdr>
                <w:top w:val="none" w:sz="0" w:space="0" w:color="auto"/>
                <w:left w:val="none" w:sz="0" w:space="0" w:color="auto"/>
                <w:bottom w:val="none" w:sz="0" w:space="0" w:color="auto"/>
                <w:right w:val="none" w:sz="0" w:space="0" w:color="auto"/>
              </w:divBdr>
            </w:div>
            <w:div w:id="2015567846">
              <w:marLeft w:val="0"/>
              <w:marRight w:val="0"/>
              <w:marTop w:val="0"/>
              <w:marBottom w:val="0"/>
              <w:divBdr>
                <w:top w:val="none" w:sz="0" w:space="0" w:color="auto"/>
                <w:left w:val="none" w:sz="0" w:space="0" w:color="auto"/>
                <w:bottom w:val="none" w:sz="0" w:space="0" w:color="auto"/>
                <w:right w:val="none" w:sz="0" w:space="0" w:color="auto"/>
              </w:divBdr>
            </w:div>
            <w:div w:id="1465657079">
              <w:marLeft w:val="0"/>
              <w:marRight w:val="0"/>
              <w:marTop w:val="0"/>
              <w:marBottom w:val="0"/>
              <w:divBdr>
                <w:top w:val="none" w:sz="0" w:space="0" w:color="auto"/>
                <w:left w:val="none" w:sz="0" w:space="0" w:color="auto"/>
                <w:bottom w:val="none" w:sz="0" w:space="0" w:color="auto"/>
                <w:right w:val="none" w:sz="0" w:space="0" w:color="auto"/>
              </w:divBdr>
            </w:div>
            <w:div w:id="1737556069">
              <w:marLeft w:val="0"/>
              <w:marRight w:val="0"/>
              <w:marTop w:val="0"/>
              <w:marBottom w:val="0"/>
              <w:divBdr>
                <w:top w:val="none" w:sz="0" w:space="0" w:color="auto"/>
                <w:left w:val="none" w:sz="0" w:space="0" w:color="auto"/>
                <w:bottom w:val="none" w:sz="0" w:space="0" w:color="auto"/>
                <w:right w:val="none" w:sz="0" w:space="0" w:color="auto"/>
              </w:divBdr>
            </w:div>
            <w:div w:id="844200913">
              <w:marLeft w:val="0"/>
              <w:marRight w:val="0"/>
              <w:marTop w:val="0"/>
              <w:marBottom w:val="0"/>
              <w:divBdr>
                <w:top w:val="none" w:sz="0" w:space="0" w:color="auto"/>
                <w:left w:val="none" w:sz="0" w:space="0" w:color="auto"/>
                <w:bottom w:val="none" w:sz="0" w:space="0" w:color="auto"/>
                <w:right w:val="none" w:sz="0" w:space="0" w:color="auto"/>
              </w:divBdr>
            </w:div>
            <w:div w:id="970672581">
              <w:marLeft w:val="0"/>
              <w:marRight w:val="0"/>
              <w:marTop w:val="0"/>
              <w:marBottom w:val="0"/>
              <w:divBdr>
                <w:top w:val="none" w:sz="0" w:space="0" w:color="auto"/>
                <w:left w:val="none" w:sz="0" w:space="0" w:color="auto"/>
                <w:bottom w:val="none" w:sz="0" w:space="0" w:color="auto"/>
                <w:right w:val="none" w:sz="0" w:space="0" w:color="auto"/>
              </w:divBdr>
            </w:div>
            <w:div w:id="578441812">
              <w:marLeft w:val="0"/>
              <w:marRight w:val="0"/>
              <w:marTop w:val="0"/>
              <w:marBottom w:val="0"/>
              <w:divBdr>
                <w:top w:val="none" w:sz="0" w:space="0" w:color="auto"/>
                <w:left w:val="none" w:sz="0" w:space="0" w:color="auto"/>
                <w:bottom w:val="none" w:sz="0" w:space="0" w:color="auto"/>
                <w:right w:val="none" w:sz="0" w:space="0" w:color="auto"/>
              </w:divBdr>
            </w:div>
            <w:div w:id="19090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rvice.most.gov.cn/kjjh_tztg_all/20210517/4307.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650</Words>
  <Characters>3711</Characters>
  <Application>Microsoft Office Word</Application>
  <DocSecurity>0</DocSecurity>
  <Lines>30</Lines>
  <Paragraphs>8</Paragraphs>
  <ScaleCrop>false</ScaleCrop>
  <Company>china</Company>
  <LinksUpToDate>false</LinksUpToDate>
  <CharactersWithSpaces>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2021-05-18T01:31:00Z</dcterms:created>
  <dcterms:modified xsi:type="dcterms:W3CDTF">2021-05-18T01:35:00Z</dcterms:modified>
</cp:coreProperties>
</file>