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default" w:ascii="方正黑体简体" w:hAnsi="方正黑体简体" w:eastAsia="方正黑体简体" w:cs="方正黑体简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黑体简体" w:hAnsi="方正黑体简体" w:eastAsia="方正黑体简体" w:cs="方正黑体简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2024年度“新高校20条”拟扶持项目名单</w:t>
      </w:r>
    </w:p>
    <w:tbl>
      <w:tblPr>
        <w:tblStyle w:val="5"/>
        <w:tblW w:w="5148" w:type="pct"/>
        <w:tblInd w:w="-2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3035"/>
        <w:gridCol w:w="5875"/>
        <w:gridCol w:w="50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主管单位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国家级科技创新平台</w:t>
            </w: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隧道工程灾变防控与智能建养全国重点实验室</w:t>
            </w:r>
          </w:p>
        </w:tc>
        <w:tc>
          <w:tcPr>
            <w:tcW w:w="1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国家级科技创新平台</w:t>
            </w: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先进药物递释系统全国重点实验室</w:t>
            </w:r>
          </w:p>
        </w:tc>
        <w:tc>
          <w:tcPr>
            <w:tcW w:w="1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山东第一医科大学（山东省医学科学院）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国家级科技创新平台</w:t>
            </w: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生殖医学与子代健康全国重点实验室</w:t>
            </w:r>
          </w:p>
        </w:tc>
        <w:tc>
          <w:tcPr>
            <w:tcW w:w="1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国家级科技创新平台</w:t>
            </w: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络病理论创新转化全国重点实验室</w:t>
            </w:r>
          </w:p>
        </w:tc>
        <w:tc>
          <w:tcPr>
            <w:tcW w:w="1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省级级科技创新平台</w:t>
            </w: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山东省麻醉医学临床医学研究中心</w:t>
            </w:r>
          </w:p>
        </w:tc>
        <w:tc>
          <w:tcPr>
            <w:tcW w:w="1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山东第一医科大学（山东省医学科学院）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省级级科技创新平台</w:t>
            </w: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山东省智慧公安技术创新中心</w:t>
            </w:r>
          </w:p>
        </w:tc>
        <w:tc>
          <w:tcPr>
            <w:tcW w:w="1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齐鲁工业大学（山东省科学院）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省级级科技创新平台</w:t>
            </w: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山东省运动健身技术创新中心</w:t>
            </w:r>
          </w:p>
        </w:tc>
        <w:tc>
          <w:tcPr>
            <w:tcW w:w="1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山东体育学院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省级级科技创新平台</w:t>
            </w: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医学物理图像技术山东省工程研究中心</w:t>
            </w:r>
          </w:p>
        </w:tc>
        <w:tc>
          <w:tcPr>
            <w:tcW w:w="1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省级级科技创新平台</w:t>
            </w: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陆域水下与海底隧道山东省工程研究中心</w:t>
            </w:r>
          </w:p>
        </w:tc>
        <w:tc>
          <w:tcPr>
            <w:tcW w:w="1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省级级科技创新平台</w:t>
            </w: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功能化绿色低碳建筑材料山东省工程研究中心</w:t>
            </w:r>
          </w:p>
        </w:tc>
        <w:tc>
          <w:tcPr>
            <w:tcW w:w="1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省级级科技创新平台</w:t>
            </w: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泌尿男生殖系疾病精准诊疗工程研究中心</w:t>
            </w:r>
          </w:p>
        </w:tc>
        <w:tc>
          <w:tcPr>
            <w:tcW w:w="1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省级级科技创新平台</w:t>
            </w: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化妆品功效原料山东省工程研究中心</w:t>
            </w:r>
          </w:p>
        </w:tc>
        <w:tc>
          <w:tcPr>
            <w:tcW w:w="1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山东省食品药品检验研究院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省级级科技创新平台</w:t>
            </w: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神经肿瘤精准诊疗技术山东省工程研究中心</w:t>
            </w:r>
          </w:p>
        </w:tc>
        <w:tc>
          <w:tcPr>
            <w:tcW w:w="1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山东第一医科大学（山东省医学科学院）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省级级科技创新平台</w:t>
            </w: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肝胆胰恶性肿瘤多学科交叉研究山东省工程研究中心</w:t>
            </w:r>
          </w:p>
        </w:tc>
        <w:tc>
          <w:tcPr>
            <w:tcW w:w="1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省级级科技创新平台</w:t>
            </w: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智能输配电设备综合性能山东省工程研究中心</w:t>
            </w:r>
          </w:p>
        </w:tc>
        <w:tc>
          <w:tcPr>
            <w:tcW w:w="1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山东省产品质量检验研究院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省级级科技创新平台</w:t>
            </w: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绿色新型饲料添加剂山东省工程研究中心</w:t>
            </w:r>
          </w:p>
        </w:tc>
        <w:tc>
          <w:tcPr>
            <w:tcW w:w="1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山东省饲料兽药质量检验中心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概念验证中心</w:t>
            </w: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济南市高端医疗装备概念验证中心</w:t>
            </w:r>
          </w:p>
        </w:tc>
        <w:tc>
          <w:tcPr>
            <w:tcW w:w="1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山东大学齐鲁医院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概念验证中心</w:t>
            </w: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济南市智能技术与装备概念验证中心</w:t>
            </w:r>
          </w:p>
        </w:tc>
        <w:tc>
          <w:tcPr>
            <w:tcW w:w="1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概念验证中心</w:t>
            </w: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济南市铌酸锂光电集成芯片概念验证中心</w:t>
            </w:r>
          </w:p>
        </w:tc>
        <w:tc>
          <w:tcPr>
            <w:tcW w:w="1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概念验证中心</w:t>
            </w: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济南市数字经济智能技术概念验证中心</w:t>
            </w:r>
          </w:p>
        </w:tc>
        <w:tc>
          <w:tcPr>
            <w:tcW w:w="1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概念验证中心</w:t>
            </w: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济南市集成电路概念验证中心</w:t>
            </w:r>
          </w:p>
        </w:tc>
        <w:tc>
          <w:tcPr>
            <w:tcW w:w="1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概念验证中心</w:t>
            </w: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济南市量子信息概念验证中心</w:t>
            </w:r>
          </w:p>
        </w:tc>
        <w:tc>
          <w:tcPr>
            <w:tcW w:w="1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济南量子技术研究院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技术成果评估费用以及技术经纪人资格培训补助</w:t>
            </w: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技术成果评估费用以及技术经纪人资格培训补助</w:t>
            </w:r>
          </w:p>
        </w:tc>
        <w:tc>
          <w:tcPr>
            <w:tcW w:w="1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山东省技术成果交易中心</w:t>
            </w:r>
          </w:p>
        </w:tc>
      </w:tr>
    </w:tbl>
    <w:p>
      <w:pPr>
        <w:rPr>
          <w:color w:val="auto"/>
        </w:rPr>
      </w:pPr>
    </w:p>
    <w:bookmarkEnd w:id="0"/>
    <w:sectPr>
      <w:pgSz w:w="16838" w:h="11906" w:orient="landscape"/>
      <w:pgMar w:top="1587" w:right="1383" w:bottom="1587" w:left="13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文鼎CS楷體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文鼎CS楷體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鼎CS楷體">
    <w:panose1 w:val="0201060901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B0C0F"/>
    <w:rsid w:val="28403904"/>
    <w:rsid w:val="2E6966E5"/>
    <w:rsid w:val="39100B9D"/>
    <w:rsid w:val="3A2A3D00"/>
    <w:rsid w:val="47031E87"/>
    <w:rsid w:val="4A831157"/>
    <w:rsid w:val="66DB0C0F"/>
    <w:rsid w:val="6C37F448"/>
    <w:rsid w:val="78D49FBB"/>
    <w:rsid w:val="7FDF19E0"/>
    <w:rsid w:val="FF9C9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9" w:lineRule="exact"/>
      <w:ind w:firstLine="880" w:firstLineChars="200"/>
      <w:jc w:val="left"/>
      <w:outlineLvl w:val="0"/>
    </w:pPr>
    <w:rPr>
      <w:rFonts w:ascii="Times New Roman" w:hAnsi="Times New Roman" w:eastAsia="黑体"/>
      <w:kern w:val="44"/>
      <w:sz w:val="32"/>
      <w:szCs w:val="21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79" w:lineRule="exact"/>
      <w:ind w:firstLine="880" w:firstLineChars="200"/>
      <w:outlineLvl w:val="1"/>
    </w:pPr>
    <w:rPr>
      <w:rFonts w:ascii="Calibri Light" w:hAnsi="Calibri Light" w:eastAsia="楷体_GB2312" w:cs="Calibri Light"/>
      <w:sz w:val="32"/>
      <w:szCs w:val="21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ind w:firstLine="880" w:firstLineChars="200"/>
      <w:outlineLvl w:val="2"/>
    </w:pPr>
    <w:rPr>
      <w:rFonts w:ascii="Times New Roman" w:hAnsi="Times New Roman" w:eastAsia="仿宋_GB2312"/>
      <w:sz w:val="32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2024-12-20T22:34:00Z</dcterms:created>
  <dc:creator>孔敏</dc:creator>
  <cp:lastModifiedBy>周银虎</cp:lastModifiedBy>
  <dcterms:modified xsi:type="dcterms:W3CDTF">2024-12-20T17:11:24Z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F501C756B624449184362B687DB59E33_11</vt:lpwstr>
  </property>
  <property fmtid="{D5CDD505-2E9C-101B-9397-08002B2CF9AE}" pid="4" name="KSOTemplateDocerSaveRecord">
    <vt:lpwstr>eyJoZGlkIjoiYzIzNDY5OWU2YzAxYWM1ZmI3ZGE3YmNlMmMwNGZkMjQiLCJ1c2VySWQiOiIyMzA3MzY4MTQifQ==</vt:lpwstr>
  </property>
</Properties>
</file>