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高新技术企业工作分析报告（提纲）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一、高新技术企业申报数量预测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梳理辖区内截止2019年底注册的工商企业数量及行业分布比例、有研发活动企业数量及行业分布情况，拥有知识产权的企业家数，结合本地产业发发展态势，预估本区今年的高新技术企业申报数量。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二、高企诊疗服务工作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根据各科技部门掌握的情况，重点列出今年高企有效期到期后不再重新认定的企业名单，详细说明具体原因，协调当地创新创业共同体等服务载体，有针对性地开展诊断分析、对接服务等工作。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</w:tc>
        <w:tc>
          <w:tcPr>
            <w:tcW w:w="2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未能申报原因</w:t>
            </w:r>
          </w:p>
        </w:tc>
        <w:tc>
          <w:tcPr>
            <w:tcW w:w="21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对接服务载体</w:t>
            </w:r>
          </w:p>
        </w:tc>
        <w:tc>
          <w:tcPr>
            <w:tcW w:w="213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三、本市高企培育发展中存在的主要问题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四、对高企培育工作的有关建议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6F21"/>
    <w:rsid w:val="001E56C9"/>
    <w:rsid w:val="002010C4"/>
    <w:rsid w:val="005B0DB2"/>
    <w:rsid w:val="00733DBA"/>
    <w:rsid w:val="007C4C01"/>
    <w:rsid w:val="008D0E6A"/>
    <w:rsid w:val="00900EC7"/>
    <w:rsid w:val="00B60E7C"/>
    <w:rsid w:val="00BF5E62"/>
    <w:rsid w:val="00D85ECC"/>
    <w:rsid w:val="00DC109C"/>
    <w:rsid w:val="00E53C92"/>
    <w:rsid w:val="0C0A6F21"/>
    <w:rsid w:val="1BFE5226"/>
    <w:rsid w:val="310C1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255</Characters>
  <Lines>2</Lines>
  <Paragraphs>1</Paragraphs>
  <TotalTime>25</TotalTime>
  <ScaleCrop>false</ScaleCrop>
  <LinksUpToDate>false</LinksUpToDate>
  <CharactersWithSpaces>298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2020-07-22T11:28:00Z</dcterms:created>
  <dc:creator>远望之光</dc:creator>
  <cp:lastModifiedBy>Administrator</cp:lastModifiedBy>
  <dcterms:modified xsi:type="dcterms:W3CDTF">2020-07-23T08:58:17Z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