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pacing w:before="156" w:beforeLines="50" w:line="420" w:lineRule="exact"/>
        <w:ind w:left="510" w:firstLine="1080" w:firstLineChars="300"/>
        <w:outlineLvl w:val="0"/>
        <w:rPr>
          <w:rFonts w:eastAsia="宋体" w:cs="Times New Roman"/>
          <w:bCs/>
          <w:color w:val="000000"/>
          <w:sz w:val="36"/>
          <w:szCs w:val="36"/>
        </w:rPr>
      </w:pPr>
      <w:bookmarkStart w:id="0" w:name="_Toc92888562"/>
      <w:r>
        <w:rPr>
          <w:rFonts w:eastAsia="宋体" w:cs="Times New Roman"/>
          <w:bCs/>
          <w:color w:val="000000"/>
          <w:sz w:val="36"/>
          <w:szCs w:val="36"/>
        </w:rPr>
        <w:t>山东省科学技术奖提名公示内容</w:t>
      </w:r>
      <w:bookmarkEnd w:id="0"/>
    </w:p>
    <w:p>
      <w:pPr>
        <w:pStyle w:val="10"/>
        <w:snapToGrid w:val="0"/>
        <w:spacing w:before="156" w:beforeLines="50" w:after="156" w:afterLines="50"/>
        <w:ind w:left="510" w:firstLine="2880" w:firstLineChars="1200"/>
        <w:rPr>
          <w:rFonts w:eastAsia="宋体" w:cs="Times New Roman"/>
          <w:color w:val="000000"/>
        </w:rPr>
      </w:pPr>
      <w:r>
        <w:rPr>
          <w:rFonts w:eastAsia="宋体" w:cs="Times New Roman"/>
          <w:color w:val="000000"/>
        </w:rPr>
        <w:t>（2025年度）</w:t>
      </w:r>
    </w:p>
    <w:p>
      <w:pPr>
        <w:pStyle w:val="10"/>
        <w:numPr>
          <w:ilvl w:val="0"/>
          <w:numId w:val="1"/>
        </w:numPr>
        <w:ind w:firstLineChars="0"/>
        <w:jc w:val="both"/>
        <w:rPr>
          <w:rFonts w:eastAsia="宋体" w:cs="Times New Roman"/>
          <w:b/>
        </w:rPr>
      </w:pPr>
      <w:r>
        <w:rPr>
          <w:rFonts w:eastAsia="宋体" w:cs="Times New Roman"/>
          <w:b/>
        </w:rPr>
        <w:t>项目名称：</w:t>
      </w:r>
    </w:p>
    <w:p>
      <w:pPr>
        <w:pStyle w:val="10"/>
        <w:ind w:left="480" w:firstLine="0" w:firstLineChars="0"/>
        <w:jc w:val="both"/>
        <w:rPr>
          <w:rFonts w:eastAsia="宋体" w:cs="Times New Roman"/>
        </w:rPr>
      </w:pPr>
      <w:bookmarkStart w:id="1" w:name="OLE_LINK33"/>
      <w:r>
        <w:rPr>
          <w:rFonts w:hint="eastAsia" w:eastAsia="宋体" w:cs="Times New Roman"/>
        </w:rPr>
        <w:t>跨模态智能感知与自适应时空推理理论</w:t>
      </w:r>
      <w:bookmarkStart w:id="4" w:name="_GoBack"/>
      <w:bookmarkEnd w:id="4"/>
      <w:r>
        <w:rPr>
          <w:rFonts w:hint="eastAsia" w:eastAsia="宋体" w:cs="Times New Roman"/>
        </w:rPr>
        <w:t>及方法</w:t>
      </w:r>
      <w:bookmarkEnd w:id="1"/>
    </w:p>
    <w:p>
      <w:pPr>
        <w:pStyle w:val="10"/>
        <w:ind w:left="480" w:firstLine="0" w:firstLineChars="0"/>
        <w:jc w:val="both"/>
        <w:rPr>
          <w:rFonts w:eastAsia="宋体" w:cs="Times New Roman"/>
        </w:rPr>
      </w:pPr>
    </w:p>
    <w:p>
      <w:pPr>
        <w:pStyle w:val="10"/>
        <w:numPr>
          <w:ilvl w:val="0"/>
          <w:numId w:val="1"/>
        </w:numPr>
        <w:ind w:firstLineChars="0"/>
        <w:jc w:val="both"/>
        <w:rPr>
          <w:rFonts w:eastAsia="宋体" w:cs="Times New Roman"/>
          <w:b/>
        </w:rPr>
      </w:pPr>
      <w:r>
        <w:rPr>
          <w:rFonts w:eastAsia="宋体" w:cs="Times New Roman"/>
          <w:b/>
        </w:rPr>
        <w:t>提名者及提名意见</w:t>
      </w:r>
      <w:r>
        <w:rPr>
          <w:rFonts w:hint="eastAsia" w:eastAsia="宋体" w:cs="Times New Roman"/>
          <w:b/>
        </w:rPr>
        <w:t>、提名等级</w:t>
      </w:r>
    </w:p>
    <w:p>
      <w:pPr>
        <w:pStyle w:val="10"/>
        <w:adjustRightInd w:val="0"/>
        <w:snapToGrid w:val="0"/>
        <w:ind w:left="510" w:firstLine="0" w:firstLineChars="0"/>
        <w:jc w:val="both"/>
        <w:rPr>
          <w:rFonts w:ascii="宋体" w:hAnsi="宋体" w:eastAsia="宋体" w:cs="Times New Roman"/>
          <w:b/>
          <w:bCs/>
        </w:rPr>
      </w:pPr>
      <w:r>
        <w:rPr>
          <w:rFonts w:hint="eastAsia" w:ascii="宋体" w:hAnsi="宋体" w:eastAsia="宋体" w:cs="Times New Roman"/>
          <w:b/>
          <w:bCs/>
        </w:rPr>
        <w:t>提名者：</w:t>
      </w:r>
    </w:p>
    <w:p>
      <w:pPr>
        <w:pStyle w:val="10"/>
        <w:adjustRightInd w:val="0"/>
        <w:snapToGrid w:val="0"/>
        <w:ind w:left="510" w:firstLine="0" w:firstLineChars="0"/>
        <w:jc w:val="both"/>
        <w:rPr>
          <w:rFonts w:ascii="宋体" w:hAnsi="宋体" w:eastAsia="宋体" w:cs="Times New Roman"/>
          <w:bCs/>
        </w:rPr>
      </w:pPr>
      <w:r>
        <w:rPr>
          <w:rFonts w:hint="eastAsia" w:ascii="宋体" w:hAnsi="宋体" w:eastAsia="宋体" w:cs="Times New Roman"/>
          <w:bCs/>
        </w:rPr>
        <w:t>戴琼海 中国工程院院士 清华大学 计算机科学与技术</w:t>
      </w:r>
    </w:p>
    <w:p>
      <w:pPr>
        <w:pStyle w:val="10"/>
        <w:adjustRightInd w:val="0"/>
        <w:snapToGrid w:val="0"/>
        <w:ind w:left="510" w:firstLine="0" w:firstLineChars="0"/>
        <w:jc w:val="both"/>
        <w:rPr>
          <w:rFonts w:eastAsia="宋体" w:cs="Times New Roman"/>
        </w:rPr>
      </w:pPr>
      <w:bookmarkStart w:id="2" w:name="OLE_LINK14"/>
      <w:r>
        <w:rPr>
          <w:rFonts w:hint="eastAsia" w:ascii="宋体" w:hAnsi="宋体" w:eastAsia="宋体" w:cs="Times New Roman"/>
          <w:b/>
        </w:rPr>
        <w:t>提名意见</w:t>
      </w:r>
      <w:r>
        <w:rPr>
          <w:rFonts w:hint="eastAsia" w:ascii="宋体" w:hAnsi="宋体" w:eastAsia="宋体" w:cs="Times New Roman"/>
        </w:rPr>
        <w:t>：</w:t>
      </w:r>
    </w:p>
    <w:bookmarkEnd w:id="2"/>
    <w:p>
      <w:pPr>
        <w:autoSpaceDE w:val="0"/>
        <w:autoSpaceDN w:val="0"/>
        <w:adjustRightInd w:val="0"/>
        <w:snapToGrid w:val="0"/>
        <w:ind w:firstLine="480" w:firstLineChars="200"/>
        <w:jc w:val="both"/>
        <w:rPr>
          <w:rFonts w:eastAsia="宋体" w:cs="Times New Roman"/>
        </w:rPr>
      </w:pPr>
      <w:r>
        <w:rPr>
          <w:rFonts w:hint="eastAsia" w:eastAsia="宋体" w:cs="Times New Roman"/>
        </w:rPr>
        <w:t>本项目以人工智能多模态协同感知与动态推理的交叉技术创新为突破口，重点解决跨模态数据语义鸿沟深、动态环境时空建模弱、高算力依赖部署难等制约通用人工智能发展的核心难题。针对异构模态数据表达不兼容问题，项目构建跨模态协同感知理论框架，提出跨模态通用表征学习框架（</w:t>
      </w:r>
      <w:r>
        <w:rPr>
          <w:rFonts w:eastAsia="宋体" w:cs="Times New Roman"/>
        </w:rPr>
        <w:t>Uni-Perceiver</w:t>
      </w:r>
      <w:r>
        <w:rPr>
          <w:rFonts w:hint="eastAsia" w:eastAsia="宋体" w:cs="Times New Roman"/>
        </w:rPr>
        <w:t>），提出模态无关特征映射与自监督对比学习技术，助力解决多模态语义对齐瓶颈，实现图像、文本、点云等异构数据的高效融合，标注数据需求明显降低。针对动态场景时空推理鲁棒性差的问题，建立动态时空推理技术体系，构建多尺度时空卷积网络（</w:t>
      </w:r>
      <w:r>
        <w:rPr>
          <w:rFonts w:eastAsia="宋体" w:cs="Times New Roman"/>
        </w:rPr>
        <w:t>MSTCN</w:t>
      </w:r>
      <w:r>
        <w:rPr>
          <w:rFonts w:hint="eastAsia" w:eastAsia="宋体" w:cs="Times New Roman"/>
        </w:rPr>
        <w:t>），创新层级时空特征提取与注意力融合机制，助力解决长时依赖建模限制，提升预测精度。针对计算资源受限场景部署效率低的问题，研发自适应高效计算技术，设计动态剪枝、低比特量化与跨任务知识蒸馏方法，在边缘设备上实现保持推理精度的同时降低计算开销。</w:t>
      </w:r>
    </w:p>
    <w:p>
      <w:pPr>
        <w:pStyle w:val="10"/>
        <w:adjustRightInd w:val="0"/>
        <w:snapToGrid w:val="0"/>
        <w:ind w:left="510" w:firstLine="0" w:firstLineChars="0"/>
        <w:jc w:val="both"/>
        <w:rPr>
          <w:rFonts w:eastAsia="宋体" w:cs="Times New Roman"/>
        </w:rPr>
      </w:pPr>
      <w:r>
        <w:rPr>
          <w:rFonts w:hint="eastAsia" w:ascii="宋体" w:hAnsi="宋体" w:eastAsia="宋体" w:cs="Times New Roman"/>
          <w:b/>
        </w:rPr>
        <w:t>提名等级</w:t>
      </w:r>
      <w:r>
        <w:rPr>
          <w:rFonts w:hint="eastAsia" w:ascii="宋体" w:hAnsi="宋体" w:eastAsia="宋体" w:cs="Times New Roman"/>
        </w:rPr>
        <w:t>：</w:t>
      </w:r>
    </w:p>
    <w:p>
      <w:pPr>
        <w:ind w:firstLine="480" w:firstLineChars="200"/>
        <w:jc w:val="both"/>
        <w:rPr>
          <w:rFonts w:eastAsia="宋体" w:cs="Times New Roman"/>
        </w:rPr>
      </w:pPr>
      <w:r>
        <w:rPr>
          <w:rFonts w:hint="eastAsia" w:eastAsia="宋体" w:cs="Times New Roman"/>
          <w:kern w:val="0"/>
        </w:rPr>
        <w:t>提名该项目为</w:t>
      </w:r>
      <w:r>
        <w:rPr>
          <w:rFonts w:eastAsia="宋体" w:cs="Times New Roman"/>
          <w:kern w:val="0"/>
        </w:rPr>
        <w:t>2025</w:t>
      </w:r>
      <w:r>
        <w:rPr>
          <w:rFonts w:hint="eastAsia" w:eastAsia="宋体" w:cs="Times New Roman"/>
          <w:kern w:val="0"/>
        </w:rPr>
        <w:t>年度山东省自然科学奖</w:t>
      </w:r>
      <w:r>
        <w:rPr>
          <w:rFonts w:eastAsia="宋体" w:cs="Times New Roman"/>
          <w:kern w:val="0"/>
        </w:rPr>
        <w:t xml:space="preserve"> </w:t>
      </w:r>
      <w:r>
        <w:rPr>
          <w:rFonts w:hint="eastAsia" w:eastAsia="宋体" w:cs="Times New Roman"/>
          <w:kern w:val="0"/>
        </w:rPr>
        <w:t>一</w:t>
      </w:r>
      <w:r>
        <w:rPr>
          <w:rFonts w:eastAsia="宋体" w:cs="Times New Roman"/>
          <w:kern w:val="0"/>
        </w:rPr>
        <w:t xml:space="preserve"> </w:t>
      </w:r>
      <w:r>
        <w:rPr>
          <w:rFonts w:hint="eastAsia" w:eastAsia="宋体" w:cs="Times New Roman"/>
          <w:kern w:val="0"/>
        </w:rPr>
        <w:t>等奖。</w:t>
      </w:r>
    </w:p>
    <w:p>
      <w:pPr>
        <w:pStyle w:val="10"/>
        <w:ind w:firstLine="488"/>
        <w:jc w:val="both"/>
        <w:rPr>
          <w:rFonts w:eastAsia="宋体" w:cs="Times New Roman"/>
          <w:bCs/>
          <w:color w:val="FF0000"/>
          <w:spacing w:val="2"/>
        </w:rPr>
      </w:pPr>
    </w:p>
    <w:p>
      <w:pPr>
        <w:pStyle w:val="10"/>
        <w:numPr>
          <w:ilvl w:val="0"/>
          <w:numId w:val="1"/>
        </w:numPr>
        <w:ind w:firstLineChars="0"/>
        <w:jc w:val="both"/>
        <w:rPr>
          <w:rFonts w:eastAsia="宋体" w:cs="Times New Roman"/>
          <w:b/>
        </w:rPr>
      </w:pPr>
      <w:r>
        <w:rPr>
          <w:rFonts w:eastAsia="宋体" w:cs="Times New Roman"/>
          <w:b/>
        </w:rPr>
        <w:t>项目简介</w:t>
      </w:r>
    </w:p>
    <w:p>
      <w:pPr>
        <w:autoSpaceDE w:val="0"/>
        <w:autoSpaceDN w:val="0"/>
        <w:adjustRightInd w:val="0"/>
        <w:snapToGrid w:val="0"/>
        <w:ind w:firstLine="480" w:firstLineChars="200"/>
        <w:jc w:val="both"/>
        <w:rPr>
          <w:rFonts w:eastAsia="宋体" w:cs="Times New Roman"/>
        </w:rPr>
      </w:pPr>
      <w:r>
        <w:rPr>
          <w:rFonts w:hint="eastAsia" w:eastAsia="宋体" w:cs="Times New Roman"/>
        </w:rPr>
        <w:t>人工智能技术正在广泛应用于计算机视觉、自然语言处理、自动驾驶、医学影像分析等领域，但在多模态信息融合、时空动态推理、计算资源受限环境下的智能计算等方面仍然面临瓶颈。本项目针对跨模态通用表征学习、高效时空建模与智能推理、自适应计算优化三个关键科学问题，构建了一系列创新性理论体系和高效计算方法，推动了人工智能系统在复杂环境下的自主感知、动态推理和高效计算能力。</w:t>
      </w:r>
    </w:p>
    <w:p>
      <w:pPr>
        <w:autoSpaceDE w:val="0"/>
        <w:autoSpaceDN w:val="0"/>
        <w:adjustRightInd w:val="0"/>
        <w:snapToGrid w:val="0"/>
        <w:ind w:firstLine="480" w:firstLineChars="200"/>
        <w:jc w:val="both"/>
        <w:rPr>
          <w:rFonts w:eastAsia="宋体" w:cs="Times New Roman"/>
        </w:rPr>
      </w:pPr>
      <w:r>
        <w:rPr>
          <w:rFonts w:hint="eastAsia" w:eastAsia="宋体" w:cs="Times New Roman"/>
        </w:rPr>
        <w:t>本项目的核心科学发现主要体现在以下三个维度：</w:t>
      </w:r>
    </w:p>
    <w:p>
      <w:pPr>
        <w:autoSpaceDE w:val="0"/>
        <w:autoSpaceDN w:val="0"/>
        <w:adjustRightInd w:val="0"/>
        <w:snapToGrid w:val="0"/>
        <w:ind w:firstLine="480" w:firstLineChars="200"/>
        <w:jc w:val="both"/>
        <w:rPr>
          <w:rFonts w:eastAsia="宋体" w:cs="Times New Roman"/>
        </w:rPr>
      </w:pPr>
      <w:r>
        <w:rPr>
          <w:rFonts w:hint="eastAsia" w:eastAsia="宋体" w:cs="Times New Roman"/>
        </w:rPr>
        <w:t>1、跨模态通用表征学习与自适应特征交互：针对异构数据语义鸿沟问题，本研究构建了基于深度对齐的跨模态特征映射模型，提出动态注意力引导的层次化特征交互机制；通过建立跨模态语义关联矩阵和自适应特征权重分配算法，实现了视觉-语言-语音等多源异构数据在统一语义空间的高效映射。</w:t>
      </w:r>
    </w:p>
    <w:p>
      <w:pPr>
        <w:autoSpaceDE w:val="0"/>
        <w:autoSpaceDN w:val="0"/>
        <w:adjustRightInd w:val="0"/>
        <w:snapToGrid w:val="0"/>
        <w:ind w:firstLine="480" w:firstLineChars="200"/>
        <w:jc w:val="both"/>
        <w:rPr>
          <w:rFonts w:eastAsia="宋体" w:cs="Times New Roman"/>
        </w:rPr>
      </w:pPr>
      <w:r>
        <w:rPr>
          <w:rFonts w:hint="eastAsia" w:eastAsia="宋体" w:cs="Times New Roman"/>
        </w:rPr>
        <w:t>2、高效时空表征学习与智能推理：提出了多粒度时空卷积神经网络架构，结合可微分时空注意力机制，构建了层次化时空特征金字塔模型；通过设计长短程时空依赖建模模块，实现了动态场景的精准建模与推理。</w:t>
      </w:r>
    </w:p>
    <w:p>
      <w:pPr>
        <w:autoSpaceDE w:val="0"/>
        <w:autoSpaceDN w:val="0"/>
        <w:adjustRightInd w:val="0"/>
        <w:snapToGrid w:val="0"/>
        <w:ind w:firstLine="480" w:firstLineChars="200"/>
        <w:jc w:val="both"/>
        <w:rPr>
          <w:rFonts w:eastAsia="宋体" w:cs="Times New Roman"/>
        </w:rPr>
      </w:pPr>
      <w:r>
        <w:rPr>
          <w:rFonts w:hint="eastAsia" w:eastAsia="宋体" w:cs="Times New Roman"/>
        </w:rPr>
        <w:t>3、自适应计算优化与高效模型设计：建立了基于神经架构搜索的轻量化模型自动生成框架，提出动态计算路径选择算法；通过构建计算代价-性能平衡的优化目标函数，实现了模型计算图的自适应压缩与重构。</w:t>
      </w:r>
    </w:p>
    <w:p>
      <w:pPr>
        <w:autoSpaceDE w:val="0"/>
        <w:autoSpaceDN w:val="0"/>
        <w:adjustRightInd w:val="0"/>
        <w:snapToGrid w:val="0"/>
        <w:ind w:firstLine="480" w:firstLineChars="200"/>
        <w:jc w:val="both"/>
        <w:rPr>
          <w:rFonts w:eastAsia="宋体" w:cs="Times New Roman"/>
          <w:color w:val="000000"/>
        </w:rPr>
      </w:pPr>
    </w:p>
    <w:p>
      <w:pPr>
        <w:pStyle w:val="2"/>
        <w:ind w:firstLine="0" w:firstLineChars="0"/>
        <w:rPr>
          <w:rFonts w:ascii="Times New Roman"/>
          <w:b/>
          <w:sz w:val="28"/>
          <w:highlight w:val="yellow"/>
        </w:rPr>
      </w:pPr>
      <w:r>
        <w:rPr>
          <w:rFonts w:ascii="Times New Roman"/>
          <w:b/>
        </w:rPr>
        <w:t>四、</w:t>
      </w:r>
      <w:r>
        <w:rPr>
          <w:rFonts w:ascii="Times New Roman"/>
          <w:b/>
          <w:sz w:val="28"/>
        </w:rPr>
        <w:t>代表性论文专著目录</w:t>
      </w:r>
      <w:r>
        <w:rPr>
          <w:rFonts w:ascii="Times New Roman"/>
          <w:sz w:val="21"/>
          <w:szCs w:val="21"/>
        </w:rPr>
        <w:t>（限5篇）</w:t>
      </w:r>
    </w:p>
    <w:tbl>
      <w:tblPr>
        <w:tblStyle w:val="5"/>
        <w:tblW w:w="110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575"/>
        <w:gridCol w:w="1134"/>
        <w:gridCol w:w="1276"/>
        <w:gridCol w:w="708"/>
        <w:gridCol w:w="1134"/>
        <w:gridCol w:w="993"/>
        <w:gridCol w:w="850"/>
        <w:gridCol w:w="567"/>
        <w:gridCol w:w="709"/>
        <w:gridCol w:w="850"/>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400" w:type="dxa"/>
            <w:vAlign w:val="center"/>
          </w:tcPr>
          <w:p>
            <w:pPr>
              <w:pStyle w:val="2"/>
              <w:adjustRightInd w:val="0"/>
              <w:spacing w:after="50" w:line="240" w:lineRule="auto"/>
              <w:ind w:firstLine="0" w:firstLineChars="0"/>
              <w:jc w:val="center"/>
              <w:rPr>
                <w:rFonts w:ascii="Times New Roman"/>
                <w:color w:val="000000"/>
                <w:sz w:val="18"/>
                <w:szCs w:val="18"/>
              </w:rPr>
            </w:pPr>
            <w:bookmarkStart w:id="3" w:name="_Hlk91583588"/>
            <w:r>
              <w:rPr>
                <w:rFonts w:ascii="Times New Roman"/>
                <w:color w:val="000000"/>
                <w:sz w:val="18"/>
                <w:szCs w:val="18"/>
              </w:rPr>
              <w:t>序号</w:t>
            </w:r>
          </w:p>
        </w:tc>
        <w:tc>
          <w:tcPr>
            <w:tcW w:w="1575"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论文（专著）名称</w:t>
            </w:r>
          </w:p>
        </w:tc>
        <w:tc>
          <w:tcPr>
            <w:tcW w:w="1134"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刊名（出版社）</w:t>
            </w:r>
          </w:p>
        </w:tc>
        <w:tc>
          <w:tcPr>
            <w:tcW w:w="1276"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Doi</w:t>
            </w:r>
          </w:p>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/ISSN（ISBN）</w:t>
            </w:r>
          </w:p>
        </w:tc>
        <w:tc>
          <w:tcPr>
            <w:tcW w:w="708"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发表（出版）时间</w:t>
            </w:r>
          </w:p>
        </w:tc>
        <w:tc>
          <w:tcPr>
            <w:tcW w:w="1134"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作者（按刊物发表顺序）</w:t>
            </w:r>
          </w:p>
        </w:tc>
        <w:tc>
          <w:tcPr>
            <w:tcW w:w="993"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通讯作者（含共同）</w:t>
            </w:r>
          </w:p>
        </w:tc>
        <w:tc>
          <w:tcPr>
            <w:tcW w:w="850"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第一作者（含共同）</w:t>
            </w:r>
          </w:p>
        </w:tc>
        <w:tc>
          <w:tcPr>
            <w:tcW w:w="567"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他引总次数</w:t>
            </w:r>
          </w:p>
        </w:tc>
        <w:tc>
          <w:tcPr>
            <w:tcW w:w="709" w:type="dxa"/>
            <w:vAlign w:val="center"/>
          </w:tcPr>
          <w:p>
            <w:pPr>
              <w:pStyle w:val="2"/>
              <w:adjustRightInd w:val="0"/>
              <w:spacing w:after="50" w:line="240" w:lineRule="auto"/>
              <w:ind w:firstLine="0" w:firstLineChars="0"/>
              <w:jc w:val="center"/>
              <w:rPr>
                <w:rFonts w:ascii="Times New Roman"/>
                <w:color w:val="000000"/>
                <w:sz w:val="18"/>
                <w:szCs w:val="18"/>
              </w:rPr>
            </w:pPr>
            <w:r>
              <w:rPr>
                <w:rFonts w:ascii="Times New Roman"/>
                <w:color w:val="000000"/>
                <w:sz w:val="18"/>
                <w:szCs w:val="18"/>
              </w:rPr>
              <w:t>检索数据库</w:t>
            </w:r>
          </w:p>
        </w:tc>
        <w:tc>
          <w:tcPr>
            <w:tcW w:w="850" w:type="dxa"/>
            <w:vAlign w:val="center"/>
          </w:tcPr>
          <w:p>
            <w:pPr>
              <w:pStyle w:val="2"/>
              <w:adjustRightInd w:val="0"/>
              <w:spacing w:after="50" w:line="240" w:lineRule="auto"/>
              <w:ind w:firstLine="0" w:firstLineChars="0"/>
              <w:jc w:val="center"/>
              <w:rPr>
                <w:rFonts w:ascii="Times New Roman"/>
                <w:sz w:val="18"/>
                <w:szCs w:val="18"/>
              </w:rPr>
            </w:pPr>
            <w:r>
              <w:rPr>
                <w:rFonts w:ascii="Times New Roman"/>
                <w:sz w:val="18"/>
                <w:szCs w:val="18"/>
              </w:rPr>
              <w:t>通讯/一作（主编）是否为第一完成人</w:t>
            </w:r>
          </w:p>
        </w:tc>
        <w:tc>
          <w:tcPr>
            <w:tcW w:w="851" w:type="dxa"/>
            <w:vAlign w:val="center"/>
          </w:tcPr>
          <w:p>
            <w:pPr>
              <w:pStyle w:val="2"/>
              <w:adjustRightInd w:val="0"/>
              <w:spacing w:after="50" w:line="240" w:lineRule="auto"/>
              <w:ind w:firstLine="0" w:firstLineChars="0"/>
              <w:jc w:val="center"/>
              <w:rPr>
                <w:rFonts w:ascii="Times New Roman"/>
                <w:sz w:val="18"/>
                <w:szCs w:val="18"/>
              </w:rPr>
            </w:pPr>
            <w:r>
              <w:rPr>
                <w:rFonts w:ascii="Times New Roman"/>
                <w:sz w:val="18"/>
                <w:szCs w:val="18"/>
              </w:rPr>
              <w:t>第一署名单位是否为第一完成单位</w:t>
            </w:r>
          </w:p>
        </w:tc>
      </w:tr>
      <w:bookmarkEnd w:id="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7" w:hRule="exact"/>
          <w:jc w:val="center"/>
        </w:trPr>
        <w:tc>
          <w:tcPr>
            <w:tcW w:w="40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1</w:t>
            </w:r>
          </w:p>
        </w:tc>
        <w:tc>
          <w:tcPr>
            <w:tcW w:w="1575"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SDOF-GAN: Symmetric dense optical flow estimation with generative adversarial networks</w:t>
            </w:r>
          </w:p>
        </w:tc>
        <w:tc>
          <w:tcPr>
            <w:tcW w:w="1134"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IEEE Transactions on Image Processing</w:t>
            </w:r>
          </w:p>
        </w:tc>
        <w:tc>
          <w:tcPr>
            <w:tcW w:w="1276" w:type="dxa"/>
            <w:vAlign w:val="center"/>
          </w:tcPr>
          <w:p>
            <w:pPr>
              <w:pStyle w:val="2"/>
              <w:adjustRightInd w:val="0"/>
              <w:spacing w:line="240" w:lineRule="auto"/>
              <w:ind w:firstLine="0" w:firstLineChars="0"/>
              <w:jc w:val="left"/>
              <w:rPr>
                <w:rFonts w:ascii="Times New Roman"/>
                <w:color w:val="231F20"/>
                <w:sz w:val="16"/>
                <w:szCs w:val="16"/>
              </w:rPr>
            </w:pPr>
            <w:r>
              <w:rPr>
                <w:rFonts w:ascii="Times New Roman"/>
                <w:color w:val="231F20"/>
                <w:sz w:val="16"/>
                <w:szCs w:val="16"/>
              </w:rPr>
              <w:t>DOI: 0.1109/TIP.2021.3084073</w:t>
            </w:r>
          </w:p>
          <w:p>
            <w:pPr>
              <w:pStyle w:val="2"/>
              <w:adjustRightInd w:val="0"/>
              <w:spacing w:line="240" w:lineRule="auto"/>
              <w:ind w:firstLine="0" w:firstLineChars="0"/>
              <w:jc w:val="left"/>
              <w:rPr>
                <w:rFonts w:ascii="Times New Roman"/>
                <w:color w:val="231F20"/>
                <w:sz w:val="16"/>
                <w:szCs w:val="16"/>
              </w:rPr>
            </w:pPr>
            <w:r>
              <w:rPr>
                <w:rFonts w:ascii="Times New Roman"/>
                <w:color w:val="231F20"/>
                <w:sz w:val="16"/>
                <w:szCs w:val="16"/>
              </w:rPr>
              <w:t>Electronic ISSN:1941-0042</w:t>
            </w:r>
          </w:p>
          <w:p>
            <w:pPr>
              <w:pStyle w:val="2"/>
              <w:adjustRightInd w:val="0"/>
              <w:spacing w:line="240" w:lineRule="auto"/>
              <w:ind w:firstLine="0" w:firstLineChars="0"/>
              <w:jc w:val="left"/>
              <w:rPr>
                <w:rFonts w:ascii="Times New Roman"/>
                <w:color w:val="000000"/>
                <w:sz w:val="15"/>
                <w:szCs w:val="15"/>
              </w:rPr>
            </w:pPr>
            <w:r>
              <w:rPr>
                <w:rFonts w:ascii="Times New Roman"/>
                <w:color w:val="231F20"/>
                <w:sz w:val="16"/>
                <w:szCs w:val="16"/>
              </w:rPr>
              <w:t>Print ISSN:1057-7149</w:t>
            </w:r>
          </w:p>
        </w:tc>
        <w:tc>
          <w:tcPr>
            <w:tcW w:w="708" w:type="dxa"/>
            <w:vAlign w:val="center"/>
          </w:tcPr>
          <w:p>
            <w:pPr>
              <w:pStyle w:val="2"/>
              <w:adjustRightInd w:val="0"/>
              <w:spacing w:line="240" w:lineRule="auto"/>
              <w:ind w:firstLine="0" w:firstLineChars="0"/>
              <w:jc w:val="left"/>
              <w:rPr>
                <w:rFonts w:ascii="Times New Roman"/>
                <w:color w:val="000000"/>
                <w:sz w:val="18"/>
                <w:szCs w:val="18"/>
              </w:rPr>
            </w:pPr>
            <w:r>
              <w:rPr>
                <w:rFonts w:ascii="Times New Roman"/>
                <w:color w:val="000000"/>
                <w:sz w:val="18"/>
                <w:szCs w:val="18"/>
              </w:rPr>
              <w:t>2021.07.06</w:t>
            </w:r>
          </w:p>
        </w:tc>
        <w:tc>
          <w:tcPr>
            <w:tcW w:w="1134"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 xml:space="preserve">Tongtong Che, </w:t>
            </w:r>
            <w:r>
              <w:rPr>
                <w:rFonts w:ascii="Times New Roman"/>
                <w:b/>
                <w:bCs/>
                <w:color w:val="000000"/>
                <w:sz w:val="15"/>
                <w:szCs w:val="15"/>
              </w:rPr>
              <w:t>Yuanjie Zheng,</w:t>
            </w:r>
            <w:r>
              <w:rPr>
                <w:rFonts w:ascii="Times New Roman"/>
                <w:color w:val="000000"/>
                <w:sz w:val="15"/>
                <w:szCs w:val="15"/>
              </w:rPr>
              <w:t xml:space="preserve"> Yunshuai Yang, Sujuan Hou, Weikuan Jia, Jie Yang, Chen Gong</w:t>
            </w:r>
          </w:p>
        </w:tc>
        <w:tc>
          <w:tcPr>
            <w:tcW w:w="993"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Yuanjie Zheng</w:t>
            </w:r>
          </w:p>
        </w:tc>
        <w:tc>
          <w:tcPr>
            <w:tcW w:w="850" w:type="dxa"/>
            <w:vAlign w:val="center"/>
          </w:tcPr>
          <w:p>
            <w:pPr>
              <w:pStyle w:val="2"/>
              <w:adjustRightInd w:val="0"/>
              <w:spacing w:line="240" w:lineRule="auto"/>
              <w:ind w:firstLine="0" w:firstLineChars="0"/>
              <w:jc w:val="left"/>
              <w:rPr>
                <w:rFonts w:ascii="Times New Roman"/>
                <w:color w:val="000000"/>
                <w:sz w:val="21"/>
                <w:szCs w:val="28"/>
              </w:rPr>
            </w:pPr>
            <w:r>
              <w:rPr>
                <w:rFonts w:ascii="Times New Roman"/>
                <w:color w:val="000000"/>
                <w:sz w:val="15"/>
                <w:szCs w:val="15"/>
              </w:rPr>
              <w:t>Tongtong Che</w:t>
            </w:r>
          </w:p>
        </w:tc>
        <w:tc>
          <w:tcPr>
            <w:tcW w:w="567"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13</w:t>
            </w:r>
          </w:p>
        </w:tc>
        <w:tc>
          <w:tcPr>
            <w:tcW w:w="709"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SCIE</w:t>
            </w:r>
          </w:p>
        </w:tc>
        <w:tc>
          <w:tcPr>
            <w:tcW w:w="85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是</w:t>
            </w:r>
          </w:p>
        </w:tc>
        <w:tc>
          <w:tcPr>
            <w:tcW w:w="851"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8" w:hRule="exact"/>
          <w:jc w:val="center"/>
        </w:trPr>
        <w:tc>
          <w:tcPr>
            <w:tcW w:w="40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2</w:t>
            </w:r>
          </w:p>
        </w:tc>
        <w:tc>
          <w:tcPr>
            <w:tcW w:w="1575"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Information bottleneck-based interpretable multitask network for breast cancer classification and segmentation</w:t>
            </w:r>
          </w:p>
        </w:tc>
        <w:tc>
          <w:tcPr>
            <w:tcW w:w="1134"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Medical Image Analysis</w:t>
            </w:r>
          </w:p>
        </w:tc>
        <w:tc>
          <w:tcPr>
            <w:tcW w:w="1276" w:type="dxa"/>
            <w:vAlign w:val="center"/>
          </w:tcPr>
          <w:p>
            <w:pPr>
              <w:pStyle w:val="2"/>
              <w:adjustRightInd w:val="0"/>
              <w:spacing w:line="240" w:lineRule="auto"/>
              <w:ind w:firstLine="0" w:firstLineChars="0"/>
              <w:jc w:val="left"/>
              <w:rPr>
                <w:rFonts w:ascii="Times New Roman"/>
                <w:color w:val="231F20"/>
                <w:sz w:val="16"/>
                <w:szCs w:val="16"/>
              </w:rPr>
            </w:pPr>
            <w:r>
              <w:rPr>
                <w:rFonts w:ascii="Times New Roman"/>
                <w:color w:val="231F20"/>
                <w:sz w:val="16"/>
                <w:szCs w:val="16"/>
              </w:rPr>
              <w:t>DOI: 10.1016/j.media.2022.102687</w:t>
            </w:r>
          </w:p>
          <w:p>
            <w:pPr>
              <w:pStyle w:val="2"/>
              <w:adjustRightInd w:val="0"/>
              <w:spacing w:line="240" w:lineRule="auto"/>
              <w:ind w:firstLine="0" w:firstLineChars="0"/>
              <w:rPr>
                <w:rFonts w:ascii="Times New Roman"/>
                <w:color w:val="231F20"/>
                <w:sz w:val="16"/>
                <w:szCs w:val="16"/>
              </w:rPr>
            </w:pPr>
            <w:r>
              <w:rPr>
                <w:rFonts w:ascii="Times New Roman"/>
                <w:color w:val="231F20"/>
                <w:sz w:val="16"/>
                <w:szCs w:val="16"/>
              </w:rPr>
              <w:t xml:space="preserve">Online </w:t>
            </w:r>
            <w:r>
              <w:rPr>
                <w:rFonts w:ascii="Times New Roman"/>
                <w:color w:val="000000"/>
                <w:sz w:val="18"/>
                <w:szCs w:val="18"/>
              </w:rPr>
              <w:t>ISSN</w:t>
            </w:r>
            <w:r>
              <w:rPr>
                <w:rFonts w:ascii="Times New Roman"/>
                <w:color w:val="231F20"/>
                <w:sz w:val="16"/>
                <w:szCs w:val="16"/>
              </w:rPr>
              <w:t>: 1361-8423</w:t>
            </w:r>
          </w:p>
          <w:p>
            <w:pPr>
              <w:pStyle w:val="2"/>
              <w:adjustRightInd w:val="0"/>
              <w:spacing w:line="240" w:lineRule="auto"/>
              <w:ind w:firstLine="0" w:firstLineChars="0"/>
              <w:jc w:val="left"/>
              <w:rPr>
                <w:rFonts w:ascii="Times New Roman"/>
                <w:color w:val="000000"/>
                <w:sz w:val="15"/>
                <w:szCs w:val="15"/>
              </w:rPr>
            </w:pPr>
            <w:r>
              <w:rPr>
                <w:rFonts w:ascii="Times New Roman"/>
                <w:color w:val="231F20"/>
                <w:sz w:val="16"/>
                <w:szCs w:val="16"/>
              </w:rPr>
              <w:t>Print ISSN: 1361-8415</w:t>
            </w:r>
          </w:p>
        </w:tc>
        <w:tc>
          <w:tcPr>
            <w:tcW w:w="708" w:type="dxa"/>
            <w:vAlign w:val="center"/>
          </w:tcPr>
          <w:p>
            <w:pPr>
              <w:pStyle w:val="2"/>
              <w:adjustRightInd w:val="0"/>
              <w:spacing w:line="240" w:lineRule="auto"/>
              <w:ind w:firstLine="0" w:firstLineChars="0"/>
              <w:jc w:val="left"/>
              <w:rPr>
                <w:rFonts w:ascii="Times New Roman"/>
                <w:color w:val="000000"/>
                <w:sz w:val="18"/>
                <w:szCs w:val="18"/>
              </w:rPr>
            </w:pPr>
            <w:r>
              <w:rPr>
                <w:rFonts w:ascii="Times New Roman"/>
                <w:color w:val="000000"/>
                <w:sz w:val="18"/>
                <w:szCs w:val="18"/>
              </w:rPr>
              <w:t>2022.11.12</w:t>
            </w:r>
          </w:p>
        </w:tc>
        <w:tc>
          <w:tcPr>
            <w:tcW w:w="1134"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 xml:space="preserve">Junxia Wang, </w:t>
            </w:r>
            <w:r>
              <w:rPr>
                <w:rFonts w:ascii="Times New Roman"/>
                <w:b/>
                <w:bCs/>
                <w:color w:val="000000"/>
                <w:sz w:val="15"/>
                <w:szCs w:val="15"/>
              </w:rPr>
              <w:t>Yuanjie Zheng</w:t>
            </w:r>
            <w:r>
              <w:rPr>
                <w:rFonts w:ascii="Times New Roman"/>
                <w:color w:val="000000"/>
                <w:sz w:val="15"/>
                <w:szCs w:val="15"/>
              </w:rPr>
              <w:t>, Jun Ma, Xinmeng Li, Chongjing Wang, James Gee, Haipeng Wang, Wenhui Huang</w:t>
            </w:r>
          </w:p>
        </w:tc>
        <w:tc>
          <w:tcPr>
            <w:tcW w:w="993"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Yuanjie Zheng, Haipeng Wang, Wenhui Huang</w:t>
            </w:r>
          </w:p>
        </w:tc>
        <w:tc>
          <w:tcPr>
            <w:tcW w:w="850"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Junxia Wang</w:t>
            </w:r>
          </w:p>
        </w:tc>
        <w:tc>
          <w:tcPr>
            <w:tcW w:w="567"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26</w:t>
            </w:r>
          </w:p>
        </w:tc>
        <w:tc>
          <w:tcPr>
            <w:tcW w:w="709"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SCIE</w:t>
            </w:r>
          </w:p>
        </w:tc>
        <w:tc>
          <w:tcPr>
            <w:tcW w:w="85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是</w:t>
            </w:r>
          </w:p>
        </w:tc>
        <w:tc>
          <w:tcPr>
            <w:tcW w:w="851"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9" w:hRule="exact"/>
          <w:jc w:val="center"/>
        </w:trPr>
        <w:tc>
          <w:tcPr>
            <w:tcW w:w="40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3</w:t>
            </w:r>
          </w:p>
        </w:tc>
        <w:tc>
          <w:tcPr>
            <w:tcW w:w="1575"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From points to parts: 3D object detection from point cloud with part-aware and part-aggregation network</w:t>
            </w:r>
          </w:p>
        </w:tc>
        <w:tc>
          <w:tcPr>
            <w:tcW w:w="1134"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IEEE Transactions on Pattern Analysis and Machine Intelligence</w:t>
            </w:r>
          </w:p>
        </w:tc>
        <w:tc>
          <w:tcPr>
            <w:tcW w:w="1276"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DOI: 10.1109/TPAMI.2020.2977026</w:t>
            </w:r>
          </w:p>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Electronic ISSN: 1939-3539</w:t>
            </w:r>
          </w:p>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Print ISSN: 0162-8828</w:t>
            </w:r>
          </w:p>
        </w:tc>
        <w:tc>
          <w:tcPr>
            <w:tcW w:w="708" w:type="dxa"/>
            <w:vAlign w:val="center"/>
          </w:tcPr>
          <w:p>
            <w:pPr>
              <w:pStyle w:val="2"/>
              <w:adjustRightInd w:val="0"/>
              <w:spacing w:line="240" w:lineRule="auto"/>
              <w:ind w:firstLine="0" w:firstLineChars="0"/>
              <w:jc w:val="left"/>
              <w:rPr>
                <w:rFonts w:ascii="Times New Roman"/>
                <w:color w:val="000000"/>
                <w:sz w:val="18"/>
                <w:szCs w:val="18"/>
              </w:rPr>
            </w:pPr>
            <w:r>
              <w:rPr>
                <w:rFonts w:ascii="Times New Roman"/>
                <w:color w:val="000000"/>
                <w:sz w:val="18"/>
                <w:szCs w:val="18"/>
              </w:rPr>
              <w:t>2021.07.01</w:t>
            </w:r>
          </w:p>
        </w:tc>
        <w:tc>
          <w:tcPr>
            <w:tcW w:w="1134"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 xml:space="preserve">Shaoshuai Shi, Zhe Wang, Jianping Shi, Xiaogang Wang, </w:t>
            </w:r>
            <w:r>
              <w:rPr>
                <w:rFonts w:ascii="Times New Roman"/>
                <w:b/>
                <w:bCs/>
                <w:color w:val="000000"/>
                <w:sz w:val="15"/>
                <w:szCs w:val="15"/>
              </w:rPr>
              <w:t>Hongsheng Li</w:t>
            </w:r>
          </w:p>
        </w:tc>
        <w:tc>
          <w:tcPr>
            <w:tcW w:w="993"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Hongsheng Li</w:t>
            </w:r>
          </w:p>
        </w:tc>
        <w:tc>
          <w:tcPr>
            <w:tcW w:w="850"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Shaoshuai Shi</w:t>
            </w:r>
          </w:p>
        </w:tc>
        <w:tc>
          <w:tcPr>
            <w:tcW w:w="567"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344</w:t>
            </w:r>
          </w:p>
        </w:tc>
        <w:tc>
          <w:tcPr>
            <w:tcW w:w="709"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SCIE</w:t>
            </w:r>
          </w:p>
        </w:tc>
        <w:tc>
          <w:tcPr>
            <w:tcW w:w="85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否</w:t>
            </w:r>
          </w:p>
        </w:tc>
        <w:tc>
          <w:tcPr>
            <w:tcW w:w="851"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7" w:hRule="exact"/>
          <w:jc w:val="center"/>
        </w:trPr>
        <w:tc>
          <w:tcPr>
            <w:tcW w:w="40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4</w:t>
            </w:r>
          </w:p>
        </w:tc>
        <w:tc>
          <w:tcPr>
            <w:tcW w:w="1575"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Predicting unseen antibodies’ neutralizability via adaptive graph neural networks</w:t>
            </w:r>
          </w:p>
        </w:tc>
        <w:tc>
          <w:tcPr>
            <w:tcW w:w="1134" w:type="dxa"/>
            <w:vAlign w:val="center"/>
          </w:tcPr>
          <w:p>
            <w:pPr>
              <w:pStyle w:val="2"/>
              <w:adjustRightInd w:val="0"/>
              <w:spacing w:line="240" w:lineRule="auto"/>
              <w:ind w:firstLine="0" w:firstLineChars="0"/>
              <w:rPr>
                <w:rFonts w:ascii="Times New Roman"/>
                <w:color w:val="000000"/>
                <w:sz w:val="18"/>
                <w:szCs w:val="18"/>
              </w:rPr>
            </w:pPr>
            <w:r>
              <w:rPr>
                <w:rFonts w:ascii="Times New Roman"/>
                <w:color w:val="000000"/>
                <w:sz w:val="18"/>
                <w:szCs w:val="18"/>
              </w:rPr>
              <w:t>Nature Machine Intelligence</w:t>
            </w:r>
          </w:p>
        </w:tc>
        <w:tc>
          <w:tcPr>
            <w:tcW w:w="1276" w:type="dxa"/>
            <w:vAlign w:val="center"/>
          </w:tcPr>
          <w:p>
            <w:pPr>
              <w:pStyle w:val="2"/>
              <w:adjustRightInd w:val="0"/>
              <w:spacing w:line="240" w:lineRule="auto"/>
              <w:ind w:firstLine="0" w:firstLineChars="0"/>
              <w:jc w:val="left"/>
              <w:rPr>
                <w:rFonts w:ascii="Times New Roman"/>
                <w:color w:val="231F20"/>
                <w:sz w:val="16"/>
                <w:szCs w:val="16"/>
              </w:rPr>
            </w:pPr>
            <w:r>
              <w:rPr>
                <w:rFonts w:ascii="Times New Roman"/>
                <w:color w:val="000000"/>
                <w:sz w:val="15"/>
                <w:szCs w:val="15"/>
              </w:rPr>
              <w:t>DOI: 10.1038/s42256-022-00553-w EISSN:  2522-5839</w:t>
            </w:r>
          </w:p>
        </w:tc>
        <w:tc>
          <w:tcPr>
            <w:tcW w:w="708" w:type="dxa"/>
            <w:vAlign w:val="center"/>
          </w:tcPr>
          <w:p>
            <w:pPr>
              <w:pStyle w:val="2"/>
              <w:adjustRightInd w:val="0"/>
              <w:spacing w:line="240" w:lineRule="auto"/>
              <w:ind w:firstLine="0" w:firstLineChars="0"/>
              <w:jc w:val="left"/>
              <w:rPr>
                <w:rFonts w:ascii="Times New Roman"/>
                <w:color w:val="000000"/>
                <w:sz w:val="18"/>
                <w:szCs w:val="18"/>
              </w:rPr>
            </w:pPr>
            <w:r>
              <w:rPr>
                <w:rFonts w:ascii="Times New Roman"/>
                <w:color w:val="000000"/>
                <w:sz w:val="18"/>
                <w:szCs w:val="18"/>
              </w:rPr>
              <w:t>2022.11.07</w:t>
            </w:r>
          </w:p>
        </w:tc>
        <w:tc>
          <w:tcPr>
            <w:tcW w:w="1134"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 xml:space="preserve">Jie Zhang, Yishan Du, Pengfei Zhou, Jinru Ding, Shuai Xia, Qian Wang, Feiyang Chen, Mu Zhou, Xuemei Zhang, Weifeng Wang, Hongyan Wu, Lu Lu, </w:t>
            </w:r>
            <w:r>
              <w:rPr>
                <w:rFonts w:ascii="Times New Roman"/>
                <w:b/>
                <w:bCs/>
                <w:color w:val="000000"/>
                <w:sz w:val="15"/>
                <w:szCs w:val="15"/>
              </w:rPr>
              <w:t>Shaoting Zhang</w:t>
            </w:r>
          </w:p>
        </w:tc>
        <w:tc>
          <w:tcPr>
            <w:tcW w:w="993"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Jie Zhang, Hongyan Wu, Lu Lu, Shaoting Zhang</w:t>
            </w:r>
          </w:p>
        </w:tc>
        <w:tc>
          <w:tcPr>
            <w:tcW w:w="850"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Jie Zhang</w:t>
            </w:r>
          </w:p>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Yishan Du</w:t>
            </w:r>
          </w:p>
        </w:tc>
        <w:tc>
          <w:tcPr>
            <w:tcW w:w="567"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16</w:t>
            </w:r>
          </w:p>
        </w:tc>
        <w:tc>
          <w:tcPr>
            <w:tcW w:w="709"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SCIE</w:t>
            </w:r>
          </w:p>
        </w:tc>
        <w:tc>
          <w:tcPr>
            <w:tcW w:w="85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否</w:t>
            </w:r>
          </w:p>
        </w:tc>
        <w:tc>
          <w:tcPr>
            <w:tcW w:w="851"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0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5</w:t>
            </w:r>
          </w:p>
        </w:tc>
        <w:tc>
          <w:tcPr>
            <w:tcW w:w="1575" w:type="dxa"/>
            <w:vAlign w:val="center"/>
          </w:tcPr>
          <w:p>
            <w:pPr>
              <w:pStyle w:val="2"/>
              <w:adjustRightInd w:val="0"/>
              <w:spacing w:line="240" w:lineRule="auto"/>
              <w:ind w:firstLine="0" w:firstLineChars="0"/>
              <w:jc w:val="center"/>
              <w:rPr>
                <w:rFonts w:ascii="Times New Roman"/>
                <w:color w:val="000000"/>
                <w:sz w:val="18"/>
                <w:szCs w:val="18"/>
              </w:rPr>
            </w:pPr>
            <w:r>
              <w:rPr>
                <w:rFonts w:ascii="Times New Roman"/>
                <w:color w:val="000000"/>
                <w:sz w:val="18"/>
                <w:szCs w:val="18"/>
              </w:rPr>
              <w:t>PointRCNN: 3D object proposal generation and detection from point cloud</w:t>
            </w:r>
          </w:p>
        </w:tc>
        <w:tc>
          <w:tcPr>
            <w:tcW w:w="1134" w:type="dxa"/>
            <w:vAlign w:val="center"/>
          </w:tcPr>
          <w:p>
            <w:pPr>
              <w:pStyle w:val="2"/>
              <w:adjustRightInd w:val="0"/>
              <w:spacing w:line="240" w:lineRule="auto"/>
              <w:ind w:firstLine="0" w:firstLineChars="0"/>
              <w:jc w:val="center"/>
              <w:rPr>
                <w:rFonts w:ascii="Times New Roman"/>
                <w:color w:val="000000"/>
                <w:sz w:val="18"/>
                <w:szCs w:val="18"/>
              </w:rPr>
            </w:pPr>
            <w:r>
              <w:rPr>
                <w:rFonts w:ascii="Times New Roman"/>
                <w:color w:val="000000"/>
                <w:sz w:val="18"/>
                <w:szCs w:val="18"/>
              </w:rPr>
              <w:t>IEEE/CVF Conference on Computer Vision and Pattern Recognition (CVPR)</w:t>
            </w:r>
          </w:p>
        </w:tc>
        <w:tc>
          <w:tcPr>
            <w:tcW w:w="1276"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DOI: 10.1109/CVPR.2019.00086</w:t>
            </w:r>
          </w:p>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Electronic ISSN: 2575-7075</w:t>
            </w:r>
          </w:p>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Print ISSN: 1063-6919</w:t>
            </w:r>
          </w:p>
        </w:tc>
        <w:tc>
          <w:tcPr>
            <w:tcW w:w="708" w:type="dxa"/>
            <w:vAlign w:val="center"/>
          </w:tcPr>
          <w:p>
            <w:pPr>
              <w:pStyle w:val="2"/>
              <w:adjustRightInd w:val="0"/>
              <w:spacing w:line="240" w:lineRule="auto"/>
              <w:ind w:firstLine="0" w:firstLineChars="0"/>
              <w:jc w:val="left"/>
              <w:rPr>
                <w:rFonts w:ascii="Times New Roman"/>
                <w:color w:val="000000"/>
                <w:sz w:val="21"/>
                <w:szCs w:val="28"/>
              </w:rPr>
            </w:pPr>
            <w:r>
              <w:rPr>
                <w:rFonts w:ascii="Times New Roman"/>
                <w:color w:val="000000"/>
                <w:sz w:val="18"/>
                <w:szCs w:val="18"/>
              </w:rPr>
              <w:t>2020.01.09</w:t>
            </w:r>
          </w:p>
        </w:tc>
        <w:tc>
          <w:tcPr>
            <w:tcW w:w="1134" w:type="dxa"/>
            <w:vAlign w:val="center"/>
          </w:tcPr>
          <w:p>
            <w:pPr>
              <w:pStyle w:val="2"/>
              <w:adjustRightInd w:val="0"/>
              <w:spacing w:line="240" w:lineRule="auto"/>
              <w:ind w:firstLine="0" w:firstLineChars="0"/>
              <w:jc w:val="left"/>
              <w:rPr>
                <w:rFonts w:ascii="Times New Roman"/>
                <w:color w:val="000000"/>
                <w:sz w:val="15"/>
                <w:szCs w:val="15"/>
              </w:rPr>
            </w:pPr>
            <w:r>
              <w:rPr>
                <w:rFonts w:ascii="Times New Roman"/>
                <w:color w:val="000000"/>
                <w:sz w:val="15"/>
                <w:szCs w:val="15"/>
              </w:rPr>
              <w:t xml:space="preserve">Shaoshuai Shi, Xiaogang Wang, </w:t>
            </w:r>
            <w:r>
              <w:rPr>
                <w:rFonts w:ascii="Times New Roman"/>
                <w:b/>
                <w:bCs/>
                <w:color w:val="000000"/>
                <w:sz w:val="15"/>
                <w:szCs w:val="15"/>
              </w:rPr>
              <w:t>Hongsheng Li</w:t>
            </w:r>
          </w:p>
        </w:tc>
        <w:tc>
          <w:tcPr>
            <w:tcW w:w="993"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15"/>
                <w:szCs w:val="15"/>
              </w:rPr>
              <w:t>Hongsheng Li</w:t>
            </w:r>
          </w:p>
        </w:tc>
        <w:tc>
          <w:tcPr>
            <w:tcW w:w="85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15"/>
                <w:szCs w:val="15"/>
              </w:rPr>
              <w:t>Shaoshuai Shi</w:t>
            </w:r>
          </w:p>
        </w:tc>
        <w:tc>
          <w:tcPr>
            <w:tcW w:w="567"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983</w:t>
            </w:r>
          </w:p>
        </w:tc>
        <w:tc>
          <w:tcPr>
            <w:tcW w:w="709"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SCIE</w:t>
            </w:r>
          </w:p>
        </w:tc>
        <w:tc>
          <w:tcPr>
            <w:tcW w:w="850"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否</w:t>
            </w:r>
          </w:p>
        </w:tc>
        <w:tc>
          <w:tcPr>
            <w:tcW w:w="851" w:type="dxa"/>
            <w:vAlign w:val="center"/>
          </w:tcPr>
          <w:p>
            <w:pPr>
              <w:pStyle w:val="2"/>
              <w:adjustRightInd w:val="0"/>
              <w:spacing w:line="240" w:lineRule="auto"/>
              <w:ind w:firstLine="0" w:firstLineChars="0"/>
              <w:jc w:val="center"/>
              <w:rPr>
                <w:rFonts w:ascii="Times New Roman"/>
                <w:color w:val="000000"/>
                <w:sz w:val="21"/>
                <w:szCs w:val="28"/>
              </w:rPr>
            </w:pPr>
            <w:r>
              <w:rPr>
                <w:rFonts w:ascii="Times New Roman"/>
                <w:color w:val="000000"/>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8070" w:type="dxa"/>
            <w:gridSpan w:val="8"/>
            <w:vAlign w:val="center"/>
          </w:tcPr>
          <w:p>
            <w:pPr>
              <w:pStyle w:val="2"/>
              <w:adjustRightInd w:val="0"/>
              <w:spacing w:after="50" w:line="240" w:lineRule="auto"/>
              <w:ind w:firstLine="0" w:firstLineChars="0"/>
              <w:jc w:val="center"/>
              <w:rPr>
                <w:rFonts w:ascii="Times New Roman"/>
                <w:color w:val="000000"/>
                <w:sz w:val="21"/>
                <w:szCs w:val="28"/>
              </w:rPr>
            </w:pPr>
            <w:r>
              <w:rPr>
                <w:rFonts w:ascii="Times New Roman"/>
                <w:color w:val="000000"/>
                <w:sz w:val="21"/>
                <w:szCs w:val="28"/>
              </w:rPr>
              <w:t>合计</w:t>
            </w:r>
          </w:p>
        </w:tc>
        <w:tc>
          <w:tcPr>
            <w:tcW w:w="567" w:type="dxa"/>
            <w:vAlign w:val="center"/>
          </w:tcPr>
          <w:p>
            <w:pPr>
              <w:pStyle w:val="2"/>
              <w:adjustRightInd w:val="0"/>
              <w:spacing w:after="50" w:line="240" w:lineRule="auto"/>
              <w:ind w:firstLine="0" w:firstLineChars="0"/>
              <w:jc w:val="center"/>
              <w:rPr>
                <w:rFonts w:ascii="Times New Roman"/>
                <w:color w:val="000000"/>
                <w:sz w:val="21"/>
                <w:szCs w:val="28"/>
              </w:rPr>
            </w:pPr>
            <w:r>
              <w:rPr>
                <w:rFonts w:ascii="Times New Roman"/>
                <w:color w:val="000000"/>
                <w:sz w:val="21"/>
                <w:szCs w:val="28"/>
              </w:rPr>
              <w:t>1382</w:t>
            </w:r>
          </w:p>
        </w:tc>
        <w:tc>
          <w:tcPr>
            <w:tcW w:w="709" w:type="dxa"/>
            <w:vAlign w:val="center"/>
          </w:tcPr>
          <w:p>
            <w:pPr>
              <w:pStyle w:val="2"/>
              <w:adjustRightInd w:val="0"/>
              <w:spacing w:after="50" w:line="240" w:lineRule="auto"/>
              <w:ind w:firstLine="0" w:firstLineChars="0"/>
              <w:jc w:val="center"/>
              <w:rPr>
                <w:rFonts w:ascii="Times New Roman"/>
                <w:color w:val="000000"/>
                <w:sz w:val="21"/>
                <w:szCs w:val="28"/>
              </w:rPr>
            </w:pPr>
          </w:p>
        </w:tc>
        <w:tc>
          <w:tcPr>
            <w:tcW w:w="850" w:type="dxa"/>
            <w:vAlign w:val="center"/>
          </w:tcPr>
          <w:p>
            <w:pPr>
              <w:pStyle w:val="2"/>
              <w:adjustRightInd w:val="0"/>
              <w:spacing w:after="50" w:line="240" w:lineRule="auto"/>
              <w:ind w:firstLine="0" w:firstLineChars="0"/>
              <w:jc w:val="center"/>
              <w:rPr>
                <w:rFonts w:ascii="Times New Roman"/>
                <w:color w:val="000000"/>
                <w:sz w:val="18"/>
                <w:szCs w:val="18"/>
              </w:rPr>
            </w:pPr>
          </w:p>
        </w:tc>
        <w:tc>
          <w:tcPr>
            <w:tcW w:w="851" w:type="dxa"/>
            <w:vAlign w:val="center"/>
          </w:tcPr>
          <w:p>
            <w:pPr>
              <w:pStyle w:val="2"/>
              <w:adjustRightInd w:val="0"/>
              <w:spacing w:after="50" w:line="240" w:lineRule="auto"/>
              <w:ind w:firstLine="0" w:firstLineChars="0"/>
              <w:jc w:val="center"/>
              <w:rPr>
                <w:rFonts w:ascii="Times New Roman"/>
                <w:color w:val="000000"/>
                <w:sz w:val="18"/>
                <w:szCs w:val="18"/>
              </w:rPr>
            </w:pPr>
          </w:p>
        </w:tc>
      </w:tr>
    </w:tbl>
    <w:p>
      <w:pPr>
        <w:pStyle w:val="10"/>
        <w:numPr>
          <w:ilvl w:val="0"/>
          <w:numId w:val="2"/>
        </w:numPr>
        <w:adjustRightInd w:val="0"/>
        <w:snapToGrid w:val="0"/>
        <w:ind w:firstLineChars="0"/>
        <w:jc w:val="both"/>
        <w:rPr>
          <w:rFonts w:eastAsia="宋体" w:cs="Times New Roman"/>
          <w:b/>
        </w:rPr>
      </w:pPr>
      <w:r>
        <w:rPr>
          <w:rFonts w:eastAsia="宋体" w:cs="Times New Roman"/>
          <w:b/>
        </w:rPr>
        <w:t>主要完成人和完成单位情况</w:t>
      </w:r>
    </w:p>
    <w:p>
      <w:pPr>
        <w:adjustRightInd w:val="0"/>
        <w:snapToGrid w:val="0"/>
        <w:ind w:firstLine="482" w:firstLineChars="200"/>
        <w:jc w:val="both"/>
        <w:rPr>
          <w:rFonts w:eastAsia="宋体" w:cs="Times New Roman"/>
          <w:b/>
        </w:rPr>
      </w:pPr>
      <w:r>
        <w:rPr>
          <w:rFonts w:eastAsia="宋体" w:cs="Times New Roman"/>
          <w:b/>
        </w:rPr>
        <w:t>主要完成人：</w:t>
      </w:r>
    </w:p>
    <w:p>
      <w:pPr>
        <w:adjustRightInd w:val="0"/>
        <w:snapToGrid w:val="0"/>
        <w:ind w:firstLine="480" w:firstLineChars="200"/>
        <w:jc w:val="both"/>
        <w:rPr>
          <w:rFonts w:eastAsia="宋体" w:cs="Times New Roman"/>
        </w:rPr>
      </w:pPr>
      <w:r>
        <w:rPr>
          <w:rFonts w:eastAsia="宋体" w:cs="Times New Roman"/>
        </w:rPr>
        <w:t>郑元杰、贾伟宽、李鸿升、张少霆、侯素娟</w:t>
      </w:r>
    </w:p>
    <w:p>
      <w:pPr>
        <w:adjustRightInd w:val="0"/>
        <w:snapToGrid w:val="0"/>
        <w:ind w:firstLine="482" w:firstLineChars="200"/>
        <w:jc w:val="both"/>
        <w:rPr>
          <w:rFonts w:eastAsia="宋体" w:cs="Times New Roman"/>
          <w:b/>
        </w:rPr>
      </w:pPr>
      <w:r>
        <w:rPr>
          <w:rFonts w:eastAsia="宋体" w:cs="Times New Roman"/>
          <w:b/>
        </w:rPr>
        <w:t>主要完成单位：</w:t>
      </w:r>
    </w:p>
    <w:p>
      <w:pPr>
        <w:adjustRightInd w:val="0"/>
        <w:snapToGrid w:val="0"/>
        <w:ind w:firstLine="480" w:firstLineChars="200"/>
        <w:jc w:val="both"/>
        <w:rPr>
          <w:rFonts w:eastAsia="宋体" w:cs="Times New Roman"/>
          <w:b/>
        </w:rPr>
      </w:pPr>
      <w:r>
        <w:rPr>
          <w:rFonts w:eastAsia="宋体" w:cs="Times New Roman"/>
        </w:rPr>
        <w:t>山东师范大学、香港中文大学、上海商汤智能科技有限公司</w:t>
      </w:r>
    </w:p>
    <w:p>
      <w:pPr>
        <w:adjustRightInd w:val="0"/>
        <w:snapToGrid w:val="0"/>
        <w:ind w:firstLine="480"/>
        <w:jc w:val="both"/>
        <w:rPr>
          <w:rFonts w:eastAsia="宋体" w:cs="Times New Roman"/>
          <w:b/>
        </w:rPr>
      </w:pPr>
    </w:p>
    <w:p>
      <w:pPr>
        <w:adjustRightInd w:val="0"/>
        <w:snapToGrid w:val="0"/>
        <w:ind w:firstLine="480"/>
        <w:jc w:val="both"/>
        <w:rPr>
          <w:rFonts w:eastAsia="宋体" w:cs="Times New Roman"/>
          <w:b/>
        </w:rPr>
      </w:pPr>
    </w:p>
    <w:p>
      <w:pPr>
        <w:rPr>
          <w:rFonts w:eastAsia="宋体"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B1DDD"/>
    <w:multiLevelType w:val="multilevel"/>
    <w:tmpl w:val="31AB1DDD"/>
    <w:lvl w:ilvl="0" w:tentative="0">
      <w:start w:val="5"/>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5337A3"/>
    <w:multiLevelType w:val="multilevel"/>
    <w:tmpl w:val="725337A3"/>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96"/>
    <w:rsid w:val="00004526"/>
    <w:rsid w:val="00040A36"/>
    <w:rsid w:val="000466C0"/>
    <w:rsid w:val="00106D1E"/>
    <w:rsid w:val="00116F0C"/>
    <w:rsid w:val="002326EC"/>
    <w:rsid w:val="0023277D"/>
    <w:rsid w:val="002675D6"/>
    <w:rsid w:val="0030646D"/>
    <w:rsid w:val="00327876"/>
    <w:rsid w:val="00377496"/>
    <w:rsid w:val="00397B21"/>
    <w:rsid w:val="003C4CEE"/>
    <w:rsid w:val="003C597A"/>
    <w:rsid w:val="003D7DAD"/>
    <w:rsid w:val="0041199C"/>
    <w:rsid w:val="00416F7F"/>
    <w:rsid w:val="004779B8"/>
    <w:rsid w:val="004A7AC5"/>
    <w:rsid w:val="004E64C7"/>
    <w:rsid w:val="004F7775"/>
    <w:rsid w:val="0050140B"/>
    <w:rsid w:val="005056A6"/>
    <w:rsid w:val="0058114D"/>
    <w:rsid w:val="005A76A1"/>
    <w:rsid w:val="00695BF0"/>
    <w:rsid w:val="006C7F6F"/>
    <w:rsid w:val="007603E0"/>
    <w:rsid w:val="007B1CA1"/>
    <w:rsid w:val="007D45F5"/>
    <w:rsid w:val="007D6F2C"/>
    <w:rsid w:val="007E34C2"/>
    <w:rsid w:val="00861FCF"/>
    <w:rsid w:val="00893517"/>
    <w:rsid w:val="009916C8"/>
    <w:rsid w:val="009C1835"/>
    <w:rsid w:val="00A13CD6"/>
    <w:rsid w:val="00A32430"/>
    <w:rsid w:val="00A40033"/>
    <w:rsid w:val="00A53D0E"/>
    <w:rsid w:val="00A9662C"/>
    <w:rsid w:val="00AC53D2"/>
    <w:rsid w:val="00B42056"/>
    <w:rsid w:val="00B726C0"/>
    <w:rsid w:val="00B965CC"/>
    <w:rsid w:val="00C23144"/>
    <w:rsid w:val="00C30235"/>
    <w:rsid w:val="00C36FB1"/>
    <w:rsid w:val="00C41486"/>
    <w:rsid w:val="00C56284"/>
    <w:rsid w:val="00C75F45"/>
    <w:rsid w:val="00C80165"/>
    <w:rsid w:val="00CA39B2"/>
    <w:rsid w:val="00CC027B"/>
    <w:rsid w:val="00CD0256"/>
    <w:rsid w:val="00CE357E"/>
    <w:rsid w:val="00CF5D23"/>
    <w:rsid w:val="00D173E0"/>
    <w:rsid w:val="00D26C13"/>
    <w:rsid w:val="00D45D17"/>
    <w:rsid w:val="00D51E74"/>
    <w:rsid w:val="00DA34E4"/>
    <w:rsid w:val="00DB4768"/>
    <w:rsid w:val="00DD3EDF"/>
    <w:rsid w:val="00DD69F5"/>
    <w:rsid w:val="00EE69C6"/>
    <w:rsid w:val="00FB4BB9"/>
    <w:rsid w:val="00FC0050"/>
    <w:rsid w:val="00FC098A"/>
    <w:rsid w:val="00FF2A58"/>
    <w:rsid w:val="00FF2C70"/>
    <w:rsid w:val="453A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Theme="majorEastAsia" w:cstheme="minorBidi"/>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widowControl w:val="0"/>
      <w:ind w:firstLine="480" w:firstLineChars="200"/>
      <w:jc w:val="both"/>
    </w:pPr>
    <w:rPr>
      <w:rFonts w:ascii="仿宋_GB2312" w:eastAsia="宋体" w:cs="Times New Roman"/>
      <w:szCs w:val="20"/>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rFonts w:ascii="Times New Roman" w:hAnsi="Times New Roman" w:eastAsiaTheme="maj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字符"/>
    <w:basedOn w:val="7"/>
    <w:link w:val="2"/>
    <w:qFormat/>
    <w:uiPriority w:val="0"/>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463</Words>
  <Characters>2644</Characters>
  <Lines>22</Lines>
  <Paragraphs>6</Paragraphs>
  <TotalTime>319</TotalTime>
  <ScaleCrop>false</ScaleCrop>
  <LinksUpToDate>false</LinksUpToDate>
  <CharactersWithSpaces>3101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2022-02-18T02:07:00Z</dcterms:created>
  <dc:creator>Jia</dc:creator>
  <cp:lastModifiedBy>微信用户</cp:lastModifiedBy>
  <dcterms:modified xsi:type="dcterms:W3CDTF">2025-03-17T09:05:26Z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32D6286B39074C1DA5D79F033891FC88</vt:lpwstr>
  </property>
</Properties>
</file>