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黑体" w:hAnsi="黑体" w:eastAsia="黑体" w:cs="黑体"/>
          <w:i w:val="0"/>
          <w:iCs w:val="0"/>
          <w:sz w:val="32"/>
          <w:szCs w:val="32"/>
          <w:lang w:val="en-US" w:eastAsia="zh-CN"/>
        </w:rPr>
      </w:pPr>
      <w:r>
        <w:rPr>
          <w:rFonts w:hint="eastAsia" w:ascii="黑体" w:hAnsi="黑体" w:eastAsia="黑体" w:cs="黑体"/>
          <w:i w:val="0"/>
          <w:iCs w:val="0"/>
          <w:sz w:val="32"/>
          <w:szCs w:val="32"/>
          <w:lang w:val="en-US" w:eastAsia="zh-CN"/>
        </w:rPr>
        <w:t>JNCR-2022-0060002</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Times New Roman" w:hAnsi="Times New Roman"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0" w:firstLineChars="0"/>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济科发〔2022〕9号                   签发人：陈西武</w:t>
      </w:r>
    </w:p>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cs="仿宋_GB2312"/>
          <w:sz w:val="32"/>
          <w:szCs w:val="32"/>
        </w:rPr>
      </w:pPr>
    </w:p>
    <w:p>
      <w:pPr>
        <w:pStyle w:val="10"/>
        <w:bidi w:val="0"/>
      </w:pPr>
      <w:r>
        <w:rPr>
          <w:rFonts w:hint="eastAsia"/>
        </w:rPr>
        <w:t>关于印发《济南市重点实验室管理办法</w:t>
      </w:r>
    </w:p>
    <w:p>
      <w:pPr>
        <w:pStyle w:val="10"/>
        <w:bidi w:val="0"/>
      </w:pPr>
      <w:r>
        <w:rPr>
          <w:rFonts w:hint="eastAsia"/>
        </w:rPr>
        <w:t>（试行）》的通知</w:t>
      </w:r>
    </w:p>
    <w:p>
      <w:pPr>
        <w:pStyle w:val="14"/>
        <w:bidi w:val="0"/>
        <w:rPr>
          <w:rFonts w:hint="eastAsia" w:eastAsia="仿宋_GB2312"/>
          <w:lang w:val="en-US" w:eastAsia="zh-CN"/>
        </w:rPr>
      </w:pPr>
      <w:r>
        <w:rPr>
          <w:rFonts w:hint="eastAsia"/>
          <w:lang w:val="en-US" w:eastAsia="zh-CN"/>
        </w:rPr>
        <w:t xml:space="preserve"> </w:t>
      </w:r>
    </w:p>
    <w:p>
      <w:pPr>
        <w:pStyle w:val="14"/>
        <w:bidi w:val="0"/>
        <w:ind w:left="0" w:leftChars="0" w:firstLine="0" w:firstLineChars="0"/>
        <w:rPr>
          <w:rFonts w:hint="eastAsia"/>
        </w:rPr>
      </w:pPr>
      <w:r>
        <w:rPr>
          <w:rFonts w:hint="eastAsia"/>
        </w:rPr>
        <w:t>各区县</w:t>
      </w:r>
      <w:r>
        <w:rPr>
          <w:rFonts w:hint="eastAsia"/>
          <w:lang w:eastAsia="zh-CN"/>
        </w:rPr>
        <w:t>（</w:t>
      </w:r>
      <w:r>
        <w:rPr>
          <w:rFonts w:hint="eastAsia"/>
          <w:lang w:val="en-US" w:eastAsia="zh-CN"/>
        </w:rPr>
        <w:t>功能区</w:t>
      </w:r>
      <w:r>
        <w:rPr>
          <w:rFonts w:hint="eastAsia"/>
          <w:lang w:eastAsia="zh-CN"/>
        </w:rPr>
        <w:t>）</w:t>
      </w:r>
      <w:r>
        <w:rPr>
          <w:rFonts w:hint="eastAsia"/>
        </w:rPr>
        <w:t>科技主管部门，各有关单位：</w:t>
      </w:r>
    </w:p>
    <w:p>
      <w:pPr>
        <w:pStyle w:val="14"/>
        <w:bidi w:val="0"/>
        <w:rPr>
          <w:rFonts w:hint="eastAsia"/>
        </w:rPr>
      </w:pPr>
      <w:r>
        <w:rPr>
          <w:rFonts w:hint="eastAsia"/>
        </w:rPr>
        <w:t>现将《济南市重点实验室管理办法（试行）》印发给你们，请遵照执行。</w:t>
      </w:r>
    </w:p>
    <w:p>
      <w:pPr>
        <w:pStyle w:val="14"/>
        <w:bidi w:val="0"/>
        <w:rPr>
          <w:rFonts w:hint="eastAsia"/>
        </w:rPr>
      </w:pPr>
    </w:p>
    <w:p>
      <w:pPr>
        <w:pStyle w:val="14"/>
        <w:bidi w:val="0"/>
      </w:pPr>
    </w:p>
    <w:p>
      <w:pPr>
        <w:pStyle w:val="14"/>
        <w:bidi w:val="0"/>
      </w:pPr>
    </w:p>
    <w:p>
      <w:pPr>
        <w:pStyle w:val="14"/>
        <w:bidi w:val="0"/>
        <w:ind w:firstLine="5120" w:firstLineChars="1600"/>
        <w:rPr>
          <w:rFonts w:hint="eastAsia"/>
        </w:rPr>
      </w:pPr>
      <w:r>
        <w:rPr>
          <w:rFonts w:hint="eastAsia"/>
        </w:rPr>
        <w:t>济南市科学技术局</w:t>
      </w:r>
    </w:p>
    <w:p>
      <w:pPr>
        <w:pStyle w:val="14"/>
        <w:bidi w:val="0"/>
        <w:ind w:firstLine="5120" w:firstLineChars="1600"/>
        <w:rPr>
          <w:rFonts w:hint="eastAsia"/>
        </w:rPr>
      </w:pPr>
      <w:r>
        <w:rPr>
          <w:rFonts w:hint="eastAsia"/>
        </w:rPr>
        <w:t>2022年</w:t>
      </w:r>
      <w:r>
        <w:rPr>
          <w:rFonts w:hint="eastAsia"/>
          <w:lang w:val="en-US" w:eastAsia="zh-CN"/>
        </w:rPr>
        <w:t>3</w:t>
      </w:r>
      <w:r>
        <w:rPr>
          <w:rFonts w:hint="eastAsia"/>
        </w:rPr>
        <w:t>月</w:t>
      </w:r>
      <w:r>
        <w:rPr>
          <w:rFonts w:hint="eastAsia"/>
          <w:lang w:val="en-US" w:eastAsia="zh-CN"/>
        </w:rPr>
        <w:t>10</w:t>
      </w:r>
      <w:r>
        <w:rPr>
          <w:rFonts w:hint="eastAsia"/>
        </w:rPr>
        <w:t>日</w:t>
      </w:r>
    </w:p>
    <w:p>
      <w:pPr>
        <w:pStyle w:val="14"/>
        <w:bidi w:val="0"/>
      </w:pPr>
    </w:p>
    <w:p>
      <w:r>
        <w:br w:type="page"/>
      </w:r>
    </w:p>
    <w:p>
      <w:pPr>
        <w:pStyle w:val="10"/>
        <w:bidi w:val="0"/>
      </w:pPr>
    </w:p>
    <w:p>
      <w:pPr>
        <w:pStyle w:val="10"/>
        <w:bidi w:val="0"/>
      </w:pPr>
      <w:r>
        <w:rPr>
          <w:rFonts w:hint="eastAsia"/>
        </w:rPr>
        <w:t>济南市重点实验室管理办法（试行）</w:t>
      </w:r>
    </w:p>
    <w:p>
      <w:pPr>
        <w:pStyle w:val="14"/>
        <w:bidi w:val="0"/>
      </w:pPr>
    </w:p>
    <w:p>
      <w:pPr>
        <w:pStyle w:val="12"/>
        <w:bidi w:val="0"/>
        <w:ind w:left="0" w:leftChars="0" w:firstLine="0" w:firstLineChars="0"/>
        <w:jc w:val="center"/>
      </w:pPr>
      <w:r>
        <w:rPr>
          <w:rFonts w:hint="eastAsia"/>
        </w:rPr>
        <w:t>第一章 总</w:t>
      </w:r>
      <w:r>
        <w:rPr>
          <w:rFonts w:hint="eastAsia"/>
          <w:lang w:val="en-US" w:eastAsia="zh-CN"/>
        </w:rPr>
        <w:t xml:space="preserve"> </w:t>
      </w:r>
      <w:r>
        <w:rPr>
          <w:rFonts w:hint="eastAsia"/>
        </w:rPr>
        <w:t>则</w:t>
      </w:r>
    </w:p>
    <w:p>
      <w:pPr>
        <w:pStyle w:val="14"/>
        <w:bidi w:val="0"/>
      </w:pPr>
      <w:r>
        <w:rPr>
          <w:rFonts w:hint="eastAsia"/>
        </w:rPr>
        <w:t>第一条 为进一步完善全市科技创新体系，加强济南市重点实验室（以下简称市重点实验室）建设管理，发挥市重点实验室在强化基础研究</w:t>
      </w:r>
      <w:r>
        <w:rPr>
          <w:rFonts w:hint="eastAsia"/>
          <w:lang w:eastAsia="zh-CN"/>
        </w:rPr>
        <w:t>、</w:t>
      </w:r>
      <w:r>
        <w:rPr>
          <w:rFonts w:hint="eastAsia"/>
        </w:rPr>
        <w:t>应用基础研究</w:t>
      </w:r>
      <w:r>
        <w:rPr>
          <w:rFonts w:hint="eastAsia"/>
          <w:lang w:eastAsia="zh-CN"/>
        </w:rPr>
        <w:t>、</w:t>
      </w:r>
      <w:r>
        <w:rPr>
          <w:rFonts w:hint="eastAsia"/>
          <w:lang w:val="en-US" w:eastAsia="zh-CN"/>
        </w:rPr>
        <w:t>支撑产业发展</w:t>
      </w:r>
      <w:r>
        <w:rPr>
          <w:rFonts w:hint="eastAsia"/>
        </w:rPr>
        <w:t>方面的重要作用，根据《</w:t>
      </w:r>
      <w:r>
        <w:rPr>
          <w:rFonts w:hint="eastAsia"/>
          <w:lang w:val="en-US" w:eastAsia="zh-CN"/>
        </w:rPr>
        <w:t>关于加快“科创济南”建设全面提升科技创新能力的若干政策措施》</w:t>
      </w:r>
      <w:r>
        <w:rPr>
          <w:rFonts w:hint="eastAsia"/>
        </w:rPr>
        <w:t>和《山东省重点实验室管理办法》制定本办法。</w:t>
      </w:r>
    </w:p>
    <w:p>
      <w:pPr>
        <w:pStyle w:val="14"/>
        <w:bidi w:val="0"/>
      </w:pPr>
      <w:r>
        <w:rPr>
          <w:rFonts w:hint="eastAsia"/>
        </w:rPr>
        <w:t>第二条 规划和建设市重点实验室应当遵循重点支持、分类管理、资源共享、开放竞争的原则。</w:t>
      </w:r>
    </w:p>
    <w:p>
      <w:pPr>
        <w:pStyle w:val="14"/>
        <w:bidi w:val="0"/>
      </w:pPr>
      <w:r>
        <w:rPr>
          <w:rFonts w:hint="eastAsia"/>
        </w:rPr>
        <w:t>第三条 本办法所称的市重点实验室是指经市科技行政管理部门（以下简称市科技局）备案，依托市属高等院校、科研院所或其他新型研发机构和企业（以下简称依托单位），具有明确的科研方向，从事科学前沿领域和高技术领域的研究，具备开创性学科特色和原始创新能力的科研实体。</w:t>
      </w:r>
    </w:p>
    <w:p>
      <w:pPr>
        <w:pStyle w:val="14"/>
        <w:bidi w:val="0"/>
      </w:pPr>
      <w:r>
        <w:rPr>
          <w:rFonts w:hint="eastAsia"/>
        </w:rPr>
        <w:t>济南市建设的国家重点实验室、省实验室、省重点实验室，以及经认定的国家重点实验室济南分实验室</w:t>
      </w:r>
      <w:r>
        <w:rPr>
          <w:rFonts w:hint="eastAsia"/>
          <w:lang w:val="en-US" w:eastAsia="zh-CN"/>
        </w:rPr>
        <w:t>不纳入</w:t>
      </w:r>
      <w:r>
        <w:rPr>
          <w:rFonts w:hint="eastAsia"/>
        </w:rPr>
        <w:t>市重点实验室管理范围。</w:t>
      </w:r>
    </w:p>
    <w:p>
      <w:pPr>
        <w:pStyle w:val="14"/>
        <w:bidi w:val="0"/>
      </w:pPr>
      <w:r>
        <w:rPr>
          <w:rFonts w:hint="eastAsia"/>
        </w:rPr>
        <w:t>（一）依托市属高校、科研院所建设的重点实验室，应面向学科前沿和重大科技问题，开展战略性、前瞻性、前沿性基础研究和应用基础研究，聚集和培养高层次科技人才团队，为提升源头创新能力、实现可持续创新发展提供先进技术理论、人才团队等科技支撑。</w:t>
      </w:r>
    </w:p>
    <w:p>
      <w:pPr>
        <w:pStyle w:val="14"/>
        <w:bidi w:val="0"/>
      </w:pPr>
      <w:r>
        <w:rPr>
          <w:rFonts w:hint="eastAsia"/>
        </w:rPr>
        <w:t>（二）依托企业建设的重点实验室，所依托企业应为研发投入力度大、科研活跃度高、研发条件完善、创新实力强的科技型企业或新型研发机构，聚焦行业和产业关键共性技术，开展基础研究、应用基础研究和现代工程技术，解决“卡脖子”问题，聚集和培养优秀技术创新人才和团队，构建自主可控技术体系，引领行业技术进步，为提升产业核心竞争力提供支撑。</w:t>
      </w:r>
    </w:p>
    <w:p>
      <w:pPr>
        <w:pStyle w:val="14"/>
        <w:bidi w:val="0"/>
      </w:pPr>
      <w:r>
        <w:rPr>
          <w:rFonts w:hint="eastAsia"/>
          <w:lang w:eastAsia="zh-CN"/>
        </w:rPr>
        <w:t>（</w:t>
      </w:r>
      <w:r>
        <w:rPr>
          <w:rFonts w:hint="eastAsia"/>
          <w:lang w:val="en-US" w:eastAsia="zh-CN"/>
        </w:rPr>
        <w:t>三</w:t>
      </w:r>
      <w:r>
        <w:rPr>
          <w:rFonts w:hint="eastAsia"/>
          <w:lang w:eastAsia="zh-CN"/>
        </w:rPr>
        <w:t>）</w:t>
      </w:r>
      <w:r>
        <w:rPr>
          <w:rFonts w:hint="eastAsia"/>
        </w:rPr>
        <w:t>鼓励支持</w:t>
      </w:r>
      <w:r>
        <w:rPr>
          <w:rFonts w:hint="eastAsia"/>
          <w:lang w:val="en-US" w:eastAsia="zh-CN"/>
        </w:rPr>
        <w:t>申请单位与</w:t>
      </w:r>
      <w:r>
        <w:rPr>
          <w:rFonts w:hint="eastAsia"/>
        </w:rPr>
        <w:t>市属</w:t>
      </w:r>
      <w:r>
        <w:rPr>
          <w:rFonts w:hint="eastAsia"/>
          <w:lang w:val="en-US" w:eastAsia="zh-CN"/>
        </w:rPr>
        <w:t>以上</w:t>
      </w:r>
      <w:r>
        <w:rPr>
          <w:rFonts w:hint="eastAsia"/>
        </w:rPr>
        <w:t>高校、科研院所、企业</w:t>
      </w:r>
      <w:r>
        <w:rPr>
          <w:rFonts w:hint="eastAsia"/>
          <w:lang w:eastAsia="zh-CN"/>
        </w:rPr>
        <w:t>、</w:t>
      </w:r>
      <w:r>
        <w:rPr>
          <w:rFonts w:hint="eastAsia"/>
        </w:rPr>
        <w:t>新型研发机构以</w:t>
      </w:r>
      <w:r>
        <w:rPr>
          <w:rFonts w:hint="eastAsia"/>
          <w:lang w:val="en-US" w:eastAsia="zh-CN"/>
        </w:rPr>
        <w:t>产业需求</w:t>
      </w:r>
      <w:r>
        <w:rPr>
          <w:rFonts w:hint="eastAsia"/>
        </w:rPr>
        <w:t>为导向联合共建市重点实验室，围绕区域发展战略和优势特色产业</w:t>
      </w:r>
      <w:r>
        <w:rPr>
          <w:rFonts w:hint="eastAsia"/>
          <w:lang w:eastAsia="zh-CN"/>
        </w:rPr>
        <w:t>，</w:t>
      </w:r>
      <w:r>
        <w:rPr>
          <w:rFonts w:hint="eastAsia"/>
        </w:rPr>
        <w:t>充分发挥各自创新资源</w:t>
      </w:r>
      <w:r>
        <w:rPr>
          <w:rFonts w:hint="eastAsia"/>
          <w:lang w:val="en-US" w:eastAsia="zh-CN"/>
        </w:rPr>
        <w:t>优势</w:t>
      </w:r>
      <w:r>
        <w:rPr>
          <w:rFonts w:hint="eastAsia"/>
        </w:rPr>
        <w:t>，</w:t>
      </w:r>
      <w:r>
        <w:rPr>
          <w:rFonts w:hint="eastAsia"/>
          <w:lang w:val="en-US" w:eastAsia="zh-CN"/>
        </w:rPr>
        <w:t>开展国内外科技合作</w:t>
      </w:r>
      <w:r>
        <w:rPr>
          <w:rFonts w:hint="eastAsia"/>
        </w:rPr>
        <w:t>。</w:t>
      </w:r>
    </w:p>
    <w:p>
      <w:pPr>
        <w:pStyle w:val="14"/>
        <w:bidi w:val="0"/>
      </w:pPr>
      <w:r>
        <w:rPr>
          <w:rFonts w:hint="eastAsia"/>
        </w:rPr>
        <w:t>第四条 市重点实验室按照备案设立、定期审核和优胜劣汰原则实行分类管理。</w:t>
      </w:r>
    </w:p>
    <w:p>
      <w:pPr>
        <w:pStyle w:val="14"/>
        <w:bidi w:val="0"/>
        <w:rPr>
          <w:rFonts w:hint="eastAsia"/>
        </w:rPr>
      </w:pPr>
    </w:p>
    <w:p>
      <w:pPr>
        <w:pStyle w:val="12"/>
        <w:bidi w:val="0"/>
        <w:ind w:left="0" w:leftChars="0" w:firstLine="0" w:firstLineChars="0"/>
        <w:jc w:val="center"/>
      </w:pPr>
      <w:r>
        <w:rPr>
          <w:rFonts w:hint="eastAsia"/>
        </w:rPr>
        <w:t>第二章 职责与分工</w:t>
      </w:r>
    </w:p>
    <w:p>
      <w:pPr>
        <w:pStyle w:val="14"/>
        <w:bidi w:val="0"/>
      </w:pPr>
      <w:r>
        <w:rPr>
          <w:rFonts w:hint="eastAsia"/>
        </w:rPr>
        <w:t>第五条 市科技局是市重点实验室的管理部门，主要职责包括：对市重点实验室建设给予宏观指导，组织编制实施市重点实验室建设发展总体规划和政策措施；负责市重点实验室的备案与审核考</w:t>
      </w:r>
      <w:r>
        <w:rPr>
          <w:rFonts w:hint="eastAsia"/>
          <w:lang w:val="en-US" w:eastAsia="zh-CN"/>
        </w:rPr>
        <w:t>评</w:t>
      </w:r>
      <w:r>
        <w:rPr>
          <w:rFonts w:hint="eastAsia"/>
        </w:rPr>
        <w:t>工作；决定市重点实验室调整、取消资格等事项，协调解决相关问题；按相关规定及程序，遴选确定第三方专业机构为市重点实验室相关工作提供服务。</w:t>
      </w:r>
    </w:p>
    <w:p>
      <w:pPr>
        <w:pStyle w:val="14"/>
        <w:bidi w:val="0"/>
      </w:pPr>
      <w:r>
        <w:rPr>
          <w:rFonts w:hint="eastAsia"/>
        </w:rPr>
        <w:t>第六条 市重点实验室所属市直部门与单位或所在区县科技主管部门作为市重点实验室主管部门，具体指导、协调市重点实验室的建设和运行工作，负责督促落实市重点实验室建设运行所需资金、人员、场所等保障条件。</w:t>
      </w:r>
    </w:p>
    <w:p>
      <w:pPr>
        <w:pStyle w:val="14"/>
        <w:bidi w:val="0"/>
      </w:pPr>
      <w:r>
        <w:rPr>
          <w:rFonts w:hint="eastAsia"/>
        </w:rPr>
        <w:t>第七条 市属高校、科研院所、企业及新型研发机构等依托单位是市重点实验室建设和运行管理的责任主体，主要职责包括：组建市重点实验室领导机构，对市重点实验室建设和管理的重大问题进行论证和决策；协调本单位优势资源，保障市重点实验室高质量建设、高效率运转；聘任市重点实验室主任、副主任和学术委员会主任、委员。</w:t>
      </w:r>
    </w:p>
    <w:p>
      <w:pPr>
        <w:pStyle w:val="14"/>
        <w:bidi w:val="0"/>
        <w:rPr>
          <w:rFonts w:hint="eastAsia"/>
        </w:rPr>
      </w:pPr>
    </w:p>
    <w:p>
      <w:pPr>
        <w:pStyle w:val="12"/>
        <w:bidi w:val="0"/>
        <w:ind w:left="0" w:leftChars="0" w:firstLine="0" w:firstLineChars="0"/>
        <w:jc w:val="center"/>
      </w:pPr>
      <w:r>
        <w:rPr>
          <w:rFonts w:hint="eastAsia"/>
        </w:rPr>
        <w:t>第三章 组织结构</w:t>
      </w:r>
    </w:p>
    <w:p>
      <w:pPr>
        <w:pStyle w:val="14"/>
        <w:bidi w:val="0"/>
      </w:pPr>
      <w:r>
        <w:rPr>
          <w:rFonts w:hint="eastAsia"/>
        </w:rPr>
        <w:t>第八条 市重点实验室实行依托单位领导下的主任负责制，采用相对独立的人、财、物管理机制。</w:t>
      </w:r>
    </w:p>
    <w:p>
      <w:pPr>
        <w:pStyle w:val="14"/>
        <w:bidi w:val="0"/>
      </w:pPr>
      <w:r>
        <w:rPr>
          <w:rFonts w:hint="eastAsia"/>
        </w:rPr>
        <w:t>第九条 市重点实验室组织架构一般由实验室主任、副主任，学术委员会，科研团队，专职辅助科研与管理人员等组成。</w:t>
      </w:r>
    </w:p>
    <w:p>
      <w:pPr>
        <w:pStyle w:val="14"/>
        <w:bidi w:val="0"/>
      </w:pPr>
      <w:r>
        <w:rPr>
          <w:rFonts w:hint="eastAsia"/>
        </w:rPr>
        <w:t>第十条 市重点实验室主任应是本领域高水平学术带头人，具有较强的管理能力，每届任期五年。实验室主任如为外聘人员，其每年在实验室工作时间不得少于6个月，且应设常务副主任，协助主任负责实验室的日常管理工作。</w:t>
      </w:r>
    </w:p>
    <w:p>
      <w:pPr>
        <w:pStyle w:val="14"/>
        <w:bidi w:val="0"/>
      </w:pPr>
      <w:r>
        <w:rPr>
          <w:rFonts w:hint="eastAsia"/>
        </w:rPr>
        <w:t>第十一条 学术委员会是市重点实验室的学术指导机构，主要职责是为市重点实验室的发展目标、研究方向、研究任务、重大科技活动、年度工作计划和总结、开放课题等提供咨询。学术委员会人数一般不少于7人，主任应由非依托单位的国内外优秀专家担任，其中依托单位人员不超过总人数的三分之一，市重点实验室主任应为学术委员会成员。同一专家不得同时担任3个以上市重点实验室的学术委员会委员。学术委员会委员每届任期五年，每次换届应更换总人数三分之一以上。学术委员会会议每年至少召开一次，每次实到人数不得少于总人数的三分之二。</w:t>
      </w:r>
    </w:p>
    <w:p>
      <w:pPr>
        <w:pStyle w:val="14"/>
        <w:bidi w:val="0"/>
      </w:pPr>
      <w:r>
        <w:rPr>
          <w:rFonts w:hint="eastAsia"/>
        </w:rPr>
        <w:t>第十二条 市重点实验室按研究方向和研究内容设置由若干学术带头人组成的科研团队，科研团队由市重点实验室全职研究人员、技术人员、管理人员等固定人员和柔性引进研究人员、访问学者、博士后研究人员等流动人员组成，保持结构和规模相对合理稳定。市重点实验室实行首席科学家（PI）等团队科研组织模式，并应赋予PI等团队负责人相应的科研以及人、财、物支配自主权。</w:t>
      </w:r>
    </w:p>
    <w:p>
      <w:pPr>
        <w:pStyle w:val="14"/>
        <w:bidi w:val="0"/>
      </w:pPr>
      <w:r>
        <w:rPr>
          <w:rFonts w:hint="eastAsia"/>
        </w:rPr>
        <w:t>第十三条 市重点实验室应配备专职辅助科研与管理人员，负责实验室科研仪器的操作与维护、科研项目财务处理以及日常事务管理等辅助服务工作。</w:t>
      </w:r>
    </w:p>
    <w:p>
      <w:pPr>
        <w:pStyle w:val="14"/>
        <w:bidi w:val="0"/>
        <w:rPr>
          <w:rFonts w:hint="eastAsia"/>
        </w:rPr>
      </w:pPr>
    </w:p>
    <w:p>
      <w:pPr>
        <w:pStyle w:val="12"/>
        <w:bidi w:val="0"/>
        <w:ind w:left="0" w:leftChars="0" w:firstLine="0" w:firstLineChars="0"/>
        <w:jc w:val="center"/>
      </w:pPr>
      <w:r>
        <w:rPr>
          <w:rFonts w:hint="eastAsia"/>
        </w:rPr>
        <w:t>第四章 备案条件与程序</w:t>
      </w:r>
    </w:p>
    <w:p>
      <w:pPr>
        <w:pStyle w:val="14"/>
        <w:bidi w:val="0"/>
      </w:pPr>
      <w:r>
        <w:rPr>
          <w:rFonts w:hint="eastAsia"/>
        </w:rPr>
        <w:t>第十四条 市重点实验室实行备案制管理。由依托单位提出备案申请，各区县（含济南高新区、南山区、</w:t>
      </w:r>
      <w:r>
        <w:rPr>
          <w:rFonts w:hint="eastAsia"/>
          <w:lang w:eastAsia="zh-CN"/>
        </w:rPr>
        <w:t>起步</w:t>
      </w:r>
      <w:r>
        <w:rPr>
          <w:rFonts w:hint="eastAsia"/>
        </w:rPr>
        <w:t>区、国际医学中心、莱芜高新区，下同）科技主管部门</w:t>
      </w:r>
      <w:r>
        <w:rPr>
          <w:rFonts w:hint="eastAsia"/>
          <w:lang w:eastAsia="zh-CN"/>
        </w:rPr>
        <w:t>、</w:t>
      </w:r>
      <w:r>
        <w:rPr>
          <w:rFonts w:hint="eastAsia"/>
          <w:lang w:val="en-US" w:eastAsia="zh-CN"/>
        </w:rPr>
        <w:t>各市直部门</w:t>
      </w:r>
      <w:r>
        <w:rPr>
          <w:rFonts w:hint="eastAsia"/>
        </w:rPr>
        <w:t>按照程序初审推荐，市科技局审核确认。</w:t>
      </w:r>
    </w:p>
    <w:p>
      <w:pPr>
        <w:pStyle w:val="14"/>
        <w:bidi w:val="0"/>
      </w:pPr>
      <w:r>
        <w:rPr>
          <w:rFonts w:hint="eastAsia"/>
        </w:rPr>
        <w:t>第十五条 市重点实验室的依托单位应当具备下列条件：</w:t>
      </w:r>
    </w:p>
    <w:p>
      <w:pPr>
        <w:pStyle w:val="14"/>
        <w:bidi w:val="0"/>
      </w:pPr>
      <w:r>
        <w:rPr>
          <w:rFonts w:hint="eastAsia"/>
        </w:rPr>
        <w:t>（一）在济南市依法设立、具有法人资格的市属高等院校、科研院所或其他科研机构及企业</w:t>
      </w:r>
      <w:r>
        <w:rPr>
          <w:rFonts w:hint="eastAsia"/>
          <w:lang w:eastAsia="zh-CN"/>
        </w:rPr>
        <w:t>；</w:t>
      </w:r>
      <w:r>
        <w:rPr>
          <w:rFonts w:hint="eastAsia"/>
        </w:rPr>
        <w:t>　　</w:t>
      </w:r>
    </w:p>
    <w:p>
      <w:pPr>
        <w:pStyle w:val="14"/>
        <w:bidi w:val="0"/>
        <w:rPr>
          <w:rFonts w:hint="eastAsia"/>
          <w:lang w:eastAsia="zh-CN"/>
        </w:rPr>
      </w:pPr>
      <w:r>
        <w:rPr>
          <w:rFonts w:hint="eastAsia"/>
        </w:rPr>
        <w:t>（二）可以为市重点实验室提供足够资金保障、必要的技术支撑、后勤保障和学术交流等配套条件</w:t>
      </w:r>
      <w:r>
        <w:rPr>
          <w:rFonts w:hint="eastAsia"/>
          <w:lang w:eastAsia="zh-CN"/>
        </w:rPr>
        <w:t>；</w:t>
      </w:r>
    </w:p>
    <w:p>
      <w:pPr>
        <w:pStyle w:val="14"/>
        <w:bidi w:val="0"/>
        <w:rPr>
          <w:rFonts w:hint="eastAsia"/>
          <w:lang w:eastAsia="zh-CN"/>
        </w:rPr>
      </w:pPr>
      <w:r>
        <w:rPr>
          <w:rFonts w:hint="eastAsia"/>
        </w:rPr>
        <w:t>（三）具备相应的科研实力。市属高校科研院所作为依托单位申请重点实验室的，应当在本学科领域中具有国内领先或先进的科研水平，具备承担国家、省部级、市级重大科研项目的条件，有基础研究经费、人员和制度保障。企业作为依托单位申请重点实验室的，应为高新技术企业，并且在本行业领域内具有较强的知名度和影响力，具备承担大型高技术研究开发或产业化项目的能力。</w:t>
      </w:r>
    </w:p>
    <w:p>
      <w:pPr>
        <w:pStyle w:val="14"/>
        <w:bidi w:val="0"/>
        <w:rPr>
          <w:rFonts w:hint="eastAsia"/>
          <w:lang w:eastAsia="zh-CN"/>
        </w:rPr>
      </w:pPr>
      <w:r>
        <w:rPr>
          <w:rFonts w:hint="eastAsia"/>
        </w:rPr>
        <w:t>多个依托单位申请联合组建同一市重点实验室的，应当签订联合组建协议书，明确各自的权利义务关系，并指定一个主要依托单位，其主要依托单位应当具备本条规定的条件。</w:t>
      </w:r>
    </w:p>
    <w:p>
      <w:pPr>
        <w:pStyle w:val="14"/>
        <w:bidi w:val="0"/>
        <w:rPr>
          <w:rFonts w:hint="eastAsia"/>
          <w:lang w:eastAsia="zh-CN"/>
        </w:rPr>
      </w:pPr>
      <w:r>
        <w:rPr>
          <w:rFonts w:hint="eastAsia"/>
        </w:rPr>
        <w:t>第十六条 申请备案的重点实验室一般应为已</w:t>
      </w:r>
      <w:r>
        <w:rPr>
          <w:rFonts w:hint="eastAsia"/>
          <w:lang w:val="en-US" w:eastAsia="zh-CN"/>
        </w:rPr>
        <w:t>正常</w:t>
      </w:r>
      <w:r>
        <w:rPr>
          <w:rFonts w:hint="eastAsia"/>
        </w:rPr>
        <w:t>运行1年以上的实验室，并满足下列条件：</w:t>
      </w:r>
    </w:p>
    <w:p>
      <w:pPr>
        <w:pStyle w:val="14"/>
        <w:bidi w:val="0"/>
        <w:rPr>
          <w:rFonts w:hint="eastAsia"/>
          <w:lang w:eastAsia="zh-CN"/>
        </w:rPr>
      </w:pPr>
      <w:r>
        <w:rPr>
          <w:rFonts w:hint="eastAsia"/>
        </w:rPr>
        <w:t>（一）在研究方向上，应符合济南市</w:t>
      </w:r>
      <w:r>
        <w:fldChar w:fldCharType="begin"/>
      </w:r>
      <w:r>
        <w:instrText xml:space="preserve"> HYPERLINK "http://www.110.com/ask/browse-c72.html" </w:instrText>
      </w:r>
      <w:r>
        <w:fldChar w:fldCharType="separate"/>
      </w:r>
      <w:r>
        <w:rPr>
          <w:rStyle w:val="9"/>
          <w:rFonts w:hint="eastAsia" w:ascii="仿宋" w:hAnsi="仿宋" w:eastAsia="仿宋" w:cs="仿宋"/>
          <w:color w:val="auto"/>
          <w:szCs w:val="32"/>
          <w:u w:val="none"/>
          <w:shd w:val="clear" w:color="auto" w:fill="FFFFFF"/>
        </w:rPr>
        <w:t>经济</w:t>
      </w:r>
      <w:r>
        <w:rPr>
          <w:rStyle w:val="9"/>
          <w:rFonts w:hint="eastAsia" w:ascii="仿宋" w:hAnsi="仿宋" w:eastAsia="仿宋" w:cs="仿宋"/>
          <w:color w:val="auto"/>
          <w:szCs w:val="32"/>
          <w:u w:val="none"/>
          <w:shd w:val="clear" w:color="auto" w:fill="FFFFFF"/>
        </w:rPr>
        <w:fldChar w:fldCharType="end"/>
      </w:r>
      <w:r>
        <w:rPr>
          <w:rFonts w:hint="eastAsia"/>
        </w:rPr>
        <w:t>与科技发展战略，能够重点解决地方的重大科技问题，注重基础研究、应用开发和产业化相结合。</w:t>
      </w:r>
    </w:p>
    <w:p>
      <w:pPr>
        <w:pStyle w:val="14"/>
        <w:bidi w:val="0"/>
        <w:rPr>
          <w:rFonts w:hint="eastAsia"/>
          <w:lang w:eastAsia="zh-CN"/>
        </w:rPr>
      </w:pPr>
      <w:r>
        <w:rPr>
          <w:rFonts w:hint="eastAsia"/>
        </w:rPr>
        <w:t>（二）在人才队伍上，应具有学术水平较高、学风严谨、开拓创新精神强的学术带头人不少于1人，年龄一般不超过65岁，每年累计在实验室工作时间不少于3个月。实验室主任应具有较高的学术水平、较强的组织管理和协调能力，年龄一般在60岁以下，每年累计在实验室工作时间不少于8个月。有一支高水平的研究开发队伍，骨干研究人员不少于2人，每年累计在实验室工作时间不少于6个月；专职科研人员总数不少于5人，并有足够的技术和服务人员。</w:t>
      </w:r>
    </w:p>
    <w:p>
      <w:pPr>
        <w:pStyle w:val="14"/>
        <w:bidi w:val="0"/>
        <w:rPr>
          <w:rFonts w:hint="eastAsia"/>
          <w:lang w:eastAsia="zh-CN"/>
        </w:rPr>
      </w:pPr>
      <w:r>
        <w:rPr>
          <w:rFonts w:hint="eastAsia"/>
        </w:rPr>
        <w:t>（三）在硬件条件上，市重点实验室科研用房面积</w:t>
      </w:r>
      <w:r>
        <w:rPr>
          <w:rFonts w:hint="eastAsia"/>
          <w:lang w:val="en-US" w:eastAsia="zh-CN"/>
        </w:rPr>
        <w:t>1</w:t>
      </w:r>
      <w:r>
        <w:rPr>
          <w:rFonts w:hint="eastAsia"/>
        </w:rPr>
        <w:t>00平方米以上，科研仪器、设备的原始购置价不低于</w:t>
      </w:r>
      <w:r>
        <w:rPr>
          <w:rFonts w:hint="eastAsia"/>
          <w:lang w:val="en-US" w:eastAsia="zh-CN"/>
        </w:rPr>
        <w:t>2</w:t>
      </w:r>
      <w:r>
        <w:rPr>
          <w:rFonts w:hint="eastAsia"/>
        </w:rPr>
        <w:t>00万元，并能统一管理，开放使用。</w:t>
      </w:r>
    </w:p>
    <w:p>
      <w:pPr>
        <w:pStyle w:val="14"/>
        <w:bidi w:val="0"/>
        <w:rPr>
          <w:rFonts w:hint="eastAsia"/>
          <w:lang w:eastAsia="zh-CN"/>
        </w:rPr>
      </w:pPr>
      <w:r>
        <w:rPr>
          <w:rFonts w:hint="eastAsia"/>
        </w:rPr>
        <w:t>（四）在科研能力上，最近两年内承担的各类各级科研项目不少于2项，取得科研项目总经费每年100万元以上，或年人均科研经费不少于5万元。</w:t>
      </w:r>
    </w:p>
    <w:p>
      <w:pPr>
        <w:pStyle w:val="14"/>
        <w:bidi w:val="0"/>
      </w:pPr>
      <w:r>
        <w:rPr>
          <w:rFonts w:hint="eastAsia"/>
        </w:rPr>
        <w:t>（五）在运行管理上，应建立较完善的管理办法和开放运行的规章制度、相对独立的财务管理制度，仪器设备开放共享制度等规章制度，</w:t>
      </w:r>
      <w:r>
        <w:rPr>
          <w:rFonts w:hint="eastAsia"/>
          <w:lang w:val="en-US" w:eastAsia="zh-CN"/>
        </w:rPr>
        <w:t>能</w:t>
      </w:r>
      <w:r>
        <w:rPr>
          <w:rFonts w:hint="eastAsia"/>
        </w:rPr>
        <w:t>开展多种形式的国内外科技合作与交流。</w:t>
      </w:r>
    </w:p>
    <w:p>
      <w:pPr>
        <w:pStyle w:val="14"/>
        <w:bidi w:val="0"/>
      </w:pPr>
      <w:r>
        <w:rPr>
          <w:rFonts w:hint="eastAsia"/>
        </w:rPr>
        <w:t>第十七条 经省市科技主管部门认定，具备一定基础研究能力的技术创新中心等各类省市级创新平台，经申请可获得备案资格，纳入市重点实验室序列管理。</w:t>
      </w:r>
    </w:p>
    <w:p>
      <w:pPr>
        <w:pStyle w:val="14"/>
        <w:bidi w:val="0"/>
      </w:pPr>
      <w:r>
        <w:rPr>
          <w:rFonts w:hint="eastAsia"/>
        </w:rPr>
        <w:t>第十八条 市重点实验室备案程序。</w:t>
      </w:r>
    </w:p>
    <w:p>
      <w:pPr>
        <w:pStyle w:val="14"/>
        <w:bidi w:val="0"/>
      </w:pPr>
      <w:r>
        <w:rPr>
          <w:rFonts w:hint="eastAsia"/>
        </w:rPr>
        <w:t>（一）公开申报。市科技局每年组织申报备案工作（具体事宜以当年申报通知为准），依托单位组织填写《济南市重点实验室建设申请书》，并制定新建市重点实验室2年建设计划，根据通知要求提交申报资料至区县科技主管部门</w:t>
      </w:r>
      <w:r>
        <w:rPr>
          <w:rFonts w:hint="eastAsia"/>
          <w:lang w:val="en-US" w:eastAsia="zh-CN"/>
        </w:rPr>
        <w:t>或市直各部门</w:t>
      </w:r>
      <w:r>
        <w:rPr>
          <w:rFonts w:hint="eastAsia"/>
        </w:rPr>
        <w:t>。</w:t>
      </w:r>
    </w:p>
    <w:p>
      <w:pPr>
        <w:pStyle w:val="14"/>
        <w:bidi w:val="0"/>
      </w:pPr>
      <w:r>
        <w:rPr>
          <w:rFonts w:hint="eastAsia"/>
        </w:rPr>
        <w:t>（二）区县</w:t>
      </w:r>
      <w:r>
        <w:rPr>
          <w:rFonts w:hint="eastAsia"/>
          <w:lang w:eastAsia="zh-CN"/>
        </w:rPr>
        <w:t>、</w:t>
      </w:r>
      <w:r>
        <w:rPr>
          <w:rFonts w:hint="eastAsia"/>
          <w:lang w:val="en-US" w:eastAsia="zh-CN"/>
        </w:rPr>
        <w:t>部门</w:t>
      </w:r>
      <w:r>
        <w:rPr>
          <w:rFonts w:hint="eastAsia"/>
        </w:rPr>
        <w:t>推荐。各区县科技主管部门</w:t>
      </w:r>
      <w:r>
        <w:rPr>
          <w:rFonts w:hint="eastAsia"/>
          <w:lang w:val="en-US" w:eastAsia="zh-CN"/>
        </w:rPr>
        <w:t>及市直部门</w:t>
      </w:r>
      <w:r>
        <w:rPr>
          <w:rFonts w:hint="eastAsia"/>
        </w:rPr>
        <w:t>对申请资料进行审核、遴选后</w:t>
      </w:r>
      <w:r>
        <w:rPr>
          <w:rFonts w:hint="eastAsia"/>
          <w:lang w:val="en-US" w:eastAsia="zh-CN"/>
        </w:rPr>
        <w:t>择优</w:t>
      </w:r>
      <w:r>
        <w:rPr>
          <w:rFonts w:hint="eastAsia"/>
        </w:rPr>
        <w:t xml:space="preserve">推荐至市科技局。 </w:t>
      </w:r>
    </w:p>
    <w:p>
      <w:pPr>
        <w:pStyle w:val="14"/>
        <w:bidi w:val="0"/>
      </w:pPr>
      <w:r>
        <w:rPr>
          <w:rFonts w:hint="eastAsia"/>
        </w:rPr>
        <w:t>（三）备案审查。市科技局组织专家或委托第三方机构对申报材料进行审查，并根据现场考察情况提出综合审查意见。</w:t>
      </w:r>
    </w:p>
    <w:p>
      <w:pPr>
        <w:pStyle w:val="14"/>
        <w:bidi w:val="0"/>
        <w:rPr>
          <w:rFonts w:hint="eastAsia"/>
        </w:rPr>
      </w:pPr>
      <w:r>
        <w:rPr>
          <w:rFonts w:hint="eastAsia"/>
        </w:rPr>
        <w:t>（四）结果公示。市科技局根据综合审查意见，提出备案意见，对通过备案的市重点实验室进行公示</w:t>
      </w:r>
      <w:r>
        <w:rPr>
          <w:rFonts w:hint="eastAsia"/>
          <w:lang w:eastAsia="zh-CN"/>
        </w:rPr>
        <w:t>，</w:t>
      </w:r>
      <w:r>
        <w:rPr>
          <w:rFonts w:hint="eastAsia"/>
          <w:lang w:val="en-US" w:eastAsia="zh-CN"/>
        </w:rPr>
        <w:t>公示期为5个工作日</w:t>
      </w:r>
      <w:r>
        <w:rPr>
          <w:rFonts w:hint="eastAsia"/>
        </w:rPr>
        <w:t>。无异议后，市科技局发布市重点实验室备案名单。</w:t>
      </w:r>
    </w:p>
    <w:p>
      <w:pPr>
        <w:pStyle w:val="14"/>
        <w:bidi w:val="0"/>
        <w:rPr>
          <w:rFonts w:hint="default"/>
          <w:lang w:val="en-US" w:eastAsia="zh-CN"/>
        </w:rPr>
      </w:pPr>
      <w:r>
        <w:rPr>
          <w:rFonts w:hint="eastAsia"/>
          <w:lang w:val="en-US" w:eastAsia="zh-CN"/>
        </w:rPr>
        <w:t>（五）提交任务书。经过备案公示的市重点实验室须在公示结束后两周内完成填报《济南市重点实验室建设计划任务书》提交主管部门，主管部门审核无异议后，填报《济南市备案重点实验室汇总表》，并将相关资料汇总报市科技局。</w:t>
      </w:r>
    </w:p>
    <w:p>
      <w:pPr>
        <w:pStyle w:val="14"/>
        <w:bidi w:val="0"/>
      </w:pPr>
      <w:r>
        <w:rPr>
          <w:rFonts w:hint="eastAsia"/>
        </w:rPr>
        <w:t>对于我市产业发展急需或通过市“一事一议”政策引进的顶尖人才牵头申报市重点实验室可适当简化程序。</w:t>
      </w:r>
    </w:p>
    <w:p>
      <w:pPr>
        <w:pStyle w:val="14"/>
        <w:bidi w:val="0"/>
      </w:pPr>
      <w:r>
        <w:rPr>
          <w:rFonts w:hint="eastAsia"/>
        </w:rPr>
        <w:t>第十九条 通过备案的市重点实验室，获得市重点实验室建设资格，纳入济南市重点实验室序列管理，择优推荐省重点实验室，择优推荐承担省市科技计划项目。</w:t>
      </w:r>
    </w:p>
    <w:p>
      <w:pPr>
        <w:pStyle w:val="14"/>
        <w:bidi w:val="0"/>
        <w:rPr>
          <w:rFonts w:hint="eastAsia"/>
        </w:rPr>
      </w:pPr>
    </w:p>
    <w:p>
      <w:pPr>
        <w:pStyle w:val="12"/>
        <w:bidi w:val="0"/>
        <w:ind w:left="0" w:leftChars="0" w:firstLine="0" w:firstLineChars="0"/>
        <w:jc w:val="center"/>
      </w:pPr>
      <w:r>
        <w:rPr>
          <w:rFonts w:hint="eastAsia"/>
        </w:rPr>
        <w:t>第五章 管理与运行</w:t>
      </w:r>
    </w:p>
    <w:p>
      <w:pPr>
        <w:pStyle w:val="14"/>
        <w:bidi w:val="0"/>
      </w:pPr>
      <w:r>
        <w:rPr>
          <w:rFonts w:hint="eastAsia"/>
        </w:rPr>
        <w:t>第二十条 市重点实验室的运行应参照《山东省重点实验室管理办法》的有关规定进行。</w:t>
      </w:r>
    </w:p>
    <w:p>
      <w:pPr>
        <w:pStyle w:val="14"/>
        <w:bidi w:val="0"/>
      </w:pPr>
      <w:r>
        <w:rPr>
          <w:rFonts w:hint="eastAsia"/>
        </w:rPr>
        <w:t>第二十一条 市重点实验室更名、实验室主任更换、研究方向变更或依托单位进行重大调整、重组的，须由依托单位提出书面报告，经学术委员会论证，所属县区科技主管部门</w:t>
      </w:r>
      <w:r>
        <w:rPr>
          <w:rFonts w:hint="eastAsia"/>
          <w:lang w:val="en-US" w:eastAsia="zh-CN"/>
        </w:rPr>
        <w:t>或市直部门</w:t>
      </w:r>
      <w:r>
        <w:rPr>
          <w:rFonts w:hint="eastAsia"/>
        </w:rPr>
        <w:t>同意</w:t>
      </w:r>
      <w:r>
        <w:rPr>
          <w:rFonts w:hint="eastAsia"/>
          <w:lang w:val="en-US" w:eastAsia="zh-CN"/>
        </w:rPr>
        <w:t>后</w:t>
      </w:r>
      <w:r>
        <w:rPr>
          <w:rFonts w:hint="eastAsia"/>
        </w:rPr>
        <w:t>，报市科技局备案。</w:t>
      </w:r>
    </w:p>
    <w:p>
      <w:pPr>
        <w:pStyle w:val="14"/>
        <w:bidi w:val="0"/>
      </w:pPr>
      <w:r>
        <w:rPr>
          <w:rFonts w:hint="eastAsia"/>
        </w:rPr>
        <w:t>第二十二条 市重点实验室应在每年</w:t>
      </w:r>
      <w:r>
        <w:rPr>
          <w:rFonts w:hint="eastAsia"/>
          <w:lang w:val="en-US" w:eastAsia="zh-CN"/>
        </w:rPr>
        <w:t>3</w:t>
      </w:r>
      <w:r>
        <w:rPr>
          <w:rFonts w:hint="eastAsia"/>
        </w:rPr>
        <w:t>月底前按时提交年度工作报告，学术委员会会议纪要、学术委员会换届情况报告等，经依托单位、所属县区科技主管部门</w:t>
      </w:r>
      <w:r>
        <w:rPr>
          <w:rFonts w:hint="eastAsia"/>
          <w:lang w:val="en-US" w:eastAsia="zh-CN"/>
        </w:rPr>
        <w:t>或市直部门</w:t>
      </w:r>
      <w:r>
        <w:rPr>
          <w:rFonts w:hint="eastAsia"/>
        </w:rPr>
        <w:t>审核后报市科技局备案。</w:t>
      </w:r>
    </w:p>
    <w:p>
      <w:pPr>
        <w:pStyle w:val="14"/>
        <w:bidi w:val="0"/>
      </w:pPr>
      <w:r>
        <w:rPr>
          <w:rFonts w:hint="eastAsia"/>
        </w:rPr>
        <w:t>第二十三条 依托单位组织市重点实验室年度考核工作，了解工作进展和存在问题，帮助与督促市重点实验室进行整改。</w:t>
      </w:r>
    </w:p>
    <w:p>
      <w:pPr>
        <w:pStyle w:val="14"/>
        <w:bidi w:val="0"/>
      </w:pPr>
      <w:r>
        <w:rPr>
          <w:rFonts w:hint="eastAsia"/>
        </w:rPr>
        <w:t>第二十四条 市科技局组织市重点实验室定期绩效评估工作，评估周期一般为2年，对市重点实验室评估期内整体运行发展情况进行综合评价。评估工作采取同行专家评议方式。</w:t>
      </w:r>
    </w:p>
    <w:p>
      <w:pPr>
        <w:pStyle w:val="14"/>
        <w:bidi w:val="0"/>
      </w:pPr>
      <w:r>
        <w:rPr>
          <w:rFonts w:hint="eastAsia"/>
        </w:rPr>
        <w:t>第二十五条 依据省重点实验室定期绩效评估指标体系进行评估。依托市属高校院所建设的重点实验室重点评估其研究水平与贡献、科研队伍建设与人才培养、开放交流与运行管理等方面的完成情况；依托企业建设的重点实验室重点评估其引领区域和行业技术进步、共性关键技术研究、科研成果的产业化、产学研结合等方面的情况。并将重点实验室吸纳社会资本投入情况纳入绩效评估内容。</w:t>
      </w:r>
    </w:p>
    <w:p>
      <w:pPr>
        <w:pStyle w:val="14"/>
        <w:bidi w:val="0"/>
      </w:pPr>
      <w:r>
        <w:rPr>
          <w:rFonts w:hint="eastAsia"/>
        </w:rPr>
        <w:t>第二十六条 市科技局根据市重点实验室评估情况，确定优秀、合格和不合格3个评估结果等次，评估结果为合格及以上的，继续获得市重点实验室备案资格，评估结果为优秀的优先推荐</w:t>
      </w:r>
      <w:r>
        <w:rPr>
          <w:rFonts w:hint="eastAsia"/>
          <w:lang w:val="en-US" w:eastAsia="zh-CN"/>
        </w:rPr>
        <w:t>申报</w:t>
      </w:r>
      <w:r>
        <w:rPr>
          <w:rFonts w:hint="eastAsia"/>
        </w:rPr>
        <w:t>省重点实验室</w:t>
      </w:r>
      <w:r>
        <w:rPr>
          <w:rFonts w:hint="eastAsia"/>
          <w:lang w:val="en-US" w:eastAsia="zh-CN"/>
        </w:rPr>
        <w:t>及各级各类科技计划项目</w:t>
      </w:r>
      <w:r>
        <w:rPr>
          <w:rFonts w:hint="eastAsia"/>
        </w:rPr>
        <w:t>，评估结果不合格的取消其市重点实验室资格。</w:t>
      </w:r>
    </w:p>
    <w:p>
      <w:pPr>
        <w:pStyle w:val="14"/>
        <w:bidi w:val="0"/>
      </w:pPr>
      <w:r>
        <w:rPr>
          <w:rFonts w:hint="eastAsia"/>
        </w:rPr>
        <w:t>第二十七条 市重点实验室有下列情况之一的,</w:t>
      </w:r>
      <w:r>
        <w:rPr>
          <w:rFonts w:hint="eastAsia"/>
          <w:lang w:val="en-US" w:eastAsia="zh-CN"/>
        </w:rPr>
        <w:t>由</w:t>
      </w:r>
      <w:r>
        <w:rPr>
          <w:rFonts w:hint="eastAsia"/>
        </w:rPr>
        <w:t>市科技局取消其市重点实验室资格。</w:t>
      </w:r>
    </w:p>
    <w:p>
      <w:pPr>
        <w:pStyle w:val="14"/>
        <w:bidi w:val="0"/>
      </w:pPr>
      <w:r>
        <w:rPr>
          <w:rFonts w:hint="eastAsia"/>
        </w:rPr>
        <w:t>（一）市重点实验室主要科研人员离开依托单位或合作关系发生重大变化，市重点实验室无法继续建设运行的。</w:t>
      </w:r>
    </w:p>
    <w:p>
      <w:pPr>
        <w:pStyle w:val="14"/>
        <w:bidi w:val="0"/>
      </w:pPr>
      <w:r>
        <w:rPr>
          <w:rFonts w:hint="eastAsia"/>
        </w:rPr>
        <w:t>（二）依托单位发生重大变故或因其他不可抗拒的因素，造成市重点实验室无法继续建设运行的。</w:t>
      </w:r>
    </w:p>
    <w:p>
      <w:pPr>
        <w:pStyle w:val="14"/>
        <w:bidi w:val="0"/>
      </w:pPr>
      <w:r>
        <w:rPr>
          <w:rFonts w:hint="eastAsia"/>
        </w:rPr>
        <w:t>（三）无故不接受市科技局或主管部门对市重点实验室检查、监督、审计和评估的。</w:t>
      </w:r>
    </w:p>
    <w:p>
      <w:pPr>
        <w:pStyle w:val="14"/>
        <w:bidi w:val="0"/>
        <w:rPr>
          <w:rFonts w:hint="eastAsia"/>
        </w:rPr>
      </w:pPr>
    </w:p>
    <w:p>
      <w:pPr>
        <w:pStyle w:val="12"/>
        <w:bidi w:val="0"/>
        <w:ind w:left="0" w:leftChars="0" w:firstLine="0" w:firstLineChars="0"/>
        <w:jc w:val="center"/>
      </w:pPr>
      <w:r>
        <w:rPr>
          <w:rFonts w:hint="eastAsia"/>
        </w:rPr>
        <w:t>第六章 经费</w:t>
      </w:r>
    </w:p>
    <w:p>
      <w:pPr>
        <w:pStyle w:val="14"/>
        <w:bidi w:val="0"/>
      </w:pPr>
      <w:r>
        <w:rPr>
          <w:rFonts w:hint="eastAsia"/>
        </w:rPr>
        <w:t>第二十八条 市重点实验室建设运行所需资金由依托单位筹集，鼓励形成多元化、多渠道、多层次的投入体系，鼓励所在区县</w:t>
      </w:r>
      <w:r>
        <w:rPr>
          <w:rFonts w:hint="eastAsia"/>
          <w:lang w:val="en-US" w:eastAsia="zh-CN"/>
        </w:rPr>
        <w:t>或是市直主管部门</w:t>
      </w:r>
      <w:r>
        <w:rPr>
          <w:rFonts w:hint="eastAsia"/>
        </w:rPr>
        <w:t>结合实际予以支持。</w:t>
      </w:r>
    </w:p>
    <w:p>
      <w:pPr>
        <w:pStyle w:val="14"/>
        <w:bidi w:val="0"/>
      </w:pPr>
      <w:r>
        <w:rPr>
          <w:rFonts w:hint="eastAsia"/>
        </w:rPr>
        <w:t>第二十九条 依托单位应保证市重点实验室建设运行所需经费，将经费纳入单位财务统一管理，单独核算，专款专用，切实提高经费使用效益。</w:t>
      </w:r>
    </w:p>
    <w:p>
      <w:pPr>
        <w:pStyle w:val="14"/>
        <w:bidi w:val="0"/>
      </w:pPr>
      <w:r>
        <w:rPr>
          <w:rFonts w:hint="eastAsia"/>
        </w:rPr>
        <w:t>第三十条 对弄虚作假、截留、挪用、挤占资金等行为，按照有关规定进行处理，并依法追究责任。</w:t>
      </w:r>
    </w:p>
    <w:p>
      <w:pPr>
        <w:pStyle w:val="12"/>
        <w:bidi w:val="0"/>
        <w:ind w:left="0" w:leftChars="0" w:firstLine="0" w:firstLineChars="0"/>
        <w:jc w:val="center"/>
      </w:pPr>
      <w:r>
        <w:rPr>
          <w:rFonts w:hint="eastAsia"/>
        </w:rPr>
        <w:t>第七章 附</w:t>
      </w:r>
      <w:r>
        <w:rPr>
          <w:rFonts w:hint="eastAsia"/>
          <w:lang w:val="en-US" w:eastAsia="zh-CN"/>
        </w:rPr>
        <w:t xml:space="preserve"> </w:t>
      </w:r>
      <w:r>
        <w:rPr>
          <w:rFonts w:hint="eastAsia"/>
        </w:rPr>
        <w:t>则</w:t>
      </w:r>
    </w:p>
    <w:p>
      <w:pPr>
        <w:pStyle w:val="14"/>
        <w:bidi w:val="0"/>
      </w:pPr>
      <w:r>
        <w:rPr>
          <w:rFonts w:hint="eastAsia"/>
        </w:rPr>
        <w:t>第三十一条 重点实验室统一命名为“济南市×××重点实验室”，（×××为研究领域），英文名称统一为“Jinan Key Laboratory of ×××”。</w:t>
      </w:r>
    </w:p>
    <w:p>
      <w:pPr>
        <w:pStyle w:val="14"/>
        <w:bidi w:val="0"/>
      </w:pPr>
      <w:r>
        <w:rPr>
          <w:rFonts w:hint="eastAsia"/>
        </w:rPr>
        <w:t>第三十二条 本办法由市科技局负责解释。</w:t>
      </w:r>
    </w:p>
    <w:p>
      <w:pPr>
        <w:pStyle w:val="14"/>
        <w:bidi w:val="0"/>
        <w:rPr>
          <w:rFonts w:hint="eastAsia"/>
        </w:rPr>
      </w:pPr>
      <w:r>
        <w:rPr>
          <w:rFonts w:hint="eastAsia"/>
        </w:rPr>
        <w:t>第三十三条 本办法自</w:t>
      </w:r>
      <w:r>
        <w:rPr>
          <w:rFonts w:hint="eastAsia"/>
          <w:lang w:val="en-US" w:eastAsia="zh-CN"/>
        </w:rPr>
        <w:t>2022年3月10日</w:t>
      </w:r>
      <w:r>
        <w:rPr>
          <w:rFonts w:hint="eastAsia"/>
        </w:rPr>
        <w:t>起施行，有效期至2024年</w:t>
      </w:r>
      <w:r>
        <w:rPr>
          <w:rFonts w:hint="eastAsia"/>
          <w:lang w:val="en-US" w:eastAsia="zh-CN"/>
        </w:rPr>
        <w:t>3</w:t>
      </w:r>
      <w:r>
        <w:rPr>
          <w:rFonts w:hint="eastAsia"/>
        </w:rPr>
        <w:t>月</w:t>
      </w:r>
      <w:r>
        <w:rPr>
          <w:rFonts w:hint="eastAsia"/>
          <w:lang w:val="en-US" w:eastAsia="zh-CN"/>
        </w:rPr>
        <w:t>9</w:t>
      </w:r>
      <w:r>
        <w:rPr>
          <w:rFonts w:hint="eastAsia"/>
        </w:rPr>
        <w:t>日。</w:t>
      </w:r>
    </w:p>
    <w:p>
      <w:pPr>
        <w:pStyle w:val="14"/>
        <w:bidi w:val="0"/>
        <w:rPr>
          <w:rFonts w:hint="eastAsia" w:ascii="仿宋_GB2312" w:hAnsi="仿宋_GB2312" w:eastAsia="仿宋_GB2312" w:cs="仿宋_GB2312"/>
          <w:color w:val="auto"/>
          <w:spacing w:val="-17"/>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359410</wp:posOffset>
                </wp:positionV>
                <wp:extent cx="521716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21716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5pt;margin-top:28.3pt;height:0pt;width:410.8pt;z-index:251660288;mso-width-relative:page;mso-height-relative:page;" filled="f" stroked="t" coordsize="21600,21600" o:gfxdata="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7fwTj1gAAAAcBAAAPAAAAAAAAAAEAIAAAACIAAABkcnMvZG93bnJldi54bWxQSwECFAAUAAAA&#10;CACHTuJA+KD3gvABAADTAwAADgAAAAAAAAABACAAAAAlAQAAZHJzL2Uyb0RvYy54bWxQSwUGAAAA&#10;AAYABgBZAQAAhwUAAAAA&#10;">
                <v:fill on="f" focussize="0,0"/>
                <v:stroke weight="0.25pt" color="#000000 [3200]" joinstyle="round"/>
                <v:imagedata o:title=""/>
                <o:lock v:ext="edit" aspectratio="f"/>
              </v:line>
            </w:pict>
          </mc:Fallback>
        </mc:AlternateContent>
      </w:r>
    </w:p>
    <w:p>
      <w:pPr>
        <w:ind w:firstLine="320" w:firstLineChars="100"/>
        <w:rPr>
          <w:rFonts w:hint="default" w:ascii="仿宋" w:hAnsi="仿宋" w:eastAsia="仿宋" w:cs="仿宋"/>
          <w:color w:val="auto"/>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410210</wp:posOffset>
                </wp:positionV>
                <wp:extent cx="5217160" cy="0"/>
                <wp:effectExtent l="0" t="0" r="0" b="0"/>
                <wp:wrapNone/>
                <wp:docPr id="3" name="直接连接符 3"/>
                <wp:cNvGraphicFramePr/>
                <a:graphic xmlns:a="http://schemas.openxmlformats.org/drawingml/2006/main">
                  <a:graphicData uri="http://schemas.microsoft.com/office/word/2010/wordprocessingShape">
                    <wps:wsp>
                      <wps:cNvCnPr/>
                      <wps:spPr>
                        <a:xfrm>
                          <a:off x="1134745" y="8660130"/>
                          <a:ext cx="521716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5pt;margin-top:32.3pt;height:0pt;width:410.8pt;z-index:251659264;mso-width-relative:page;mso-height-relative:page;" filled="f" stroked="t" coordsize="21600,21600" o:gfxdata="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5Rys1gAAAAcBAAAPAAAAAAAAAAEAIAAAACIAAABkcnMvZG93bnJl&#10;di54bWxQSwECFAAUAAAACACHTuJAhN/z//8BAADfAwAADgAAAAAAAAABACAAAAAlAQAAZHJzL2Uy&#10;b0RvYy54bWxQSwUGAAAAAAYABgBZAQAAlgUAAAAA&#10;">
                <v:fill on="f" focussize="0,0"/>
                <v:stroke weight="0.25pt" color="#000000 [3200]" joinstyle="round"/>
                <v:imagedata o:title=""/>
                <o:lock v:ext="edit" aspectratio="f"/>
              </v:line>
            </w:pict>
          </mc:Fallback>
        </mc:AlternateContent>
      </w:r>
      <w:r>
        <w:rPr>
          <w:rFonts w:hint="eastAsia" w:ascii="仿宋_GB2312" w:hAnsi="仿宋_GB2312" w:eastAsia="仿宋_GB2312" w:cs="仿宋_GB2312"/>
          <w:color w:val="auto"/>
          <w:spacing w:val="-17"/>
          <w:sz w:val="32"/>
          <w:szCs w:val="32"/>
          <w:lang w:val="en-US" w:eastAsia="zh-CN"/>
        </w:rPr>
        <w:t>济南市科学技术局办公室             2022</w:t>
      </w:r>
      <w:bookmarkStart w:id="0" w:name="_GoBack"/>
      <w:bookmarkEnd w:id="0"/>
      <w:r>
        <w:rPr>
          <w:rFonts w:hint="eastAsia" w:ascii="仿宋_GB2312" w:hAnsi="仿宋_GB2312" w:eastAsia="仿宋_GB2312" w:cs="仿宋_GB2312"/>
          <w:color w:val="auto"/>
          <w:spacing w:val="-17"/>
          <w:sz w:val="32"/>
          <w:szCs w:val="32"/>
          <w:lang w:val="en-US" w:eastAsia="zh-CN"/>
        </w:rPr>
        <w:t>年3月10日印发</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25</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DB"/>
    <w:rsid w:val="0006336D"/>
    <w:rsid w:val="000B7320"/>
    <w:rsid w:val="000F27FD"/>
    <w:rsid w:val="001158A9"/>
    <w:rsid w:val="00135514"/>
    <w:rsid w:val="0016684E"/>
    <w:rsid w:val="00170F6C"/>
    <w:rsid w:val="00187F91"/>
    <w:rsid w:val="001A508D"/>
    <w:rsid w:val="001C2411"/>
    <w:rsid w:val="002777D5"/>
    <w:rsid w:val="002E32B7"/>
    <w:rsid w:val="002F2D91"/>
    <w:rsid w:val="00300020"/>
    <w:rsid w:val="00317243"/>
    <w:rsid w:val="003309BC"/>
    <w:rsid w:val="00340EA7"/>
    <w:rsid w:val="00381F97"/>
    <w:rsid w:val="0038458E"/>
    <w:rsid w:val="003B14EB"/>
    <w:rsid w:val="003D643A"/>
    <w:rsid w:val="003F4B9B"/>
    <w:rsid w:val="0041097A"/>
    <w:rsid w:val="00433FD9"/>
    <w:rsid w:val="004A4F1A"/>
    <w:rsid w:val="004C49B7"/>
    <w:rsid w:val="004D58C0"/>
    <w:rsid w:val="004F7D2E"/>
    <w:rsid w:val="00545640"/>
    <w:rsid w:val="005464A9"/>
    <w:rsid w:val="00551B17"/>
    <w:rsid w:val="005807E3"/>
    <w:rsid w:val="005C0662"/>
    <w:rsid w:val="005D5083"/>
    <w:rsid w:val="005E6B02"/>
    <w:rsid w:val="00662A76"/>
    <w:rsid w:val="00675F58"/>
    <w:rsid w:val="00685376"/>
    <w:rsid w:val="006875A9"/>
    <w:rsid w:val="006F1BAE"/>
    <w:rsid w:val="00700F8A"/>
    <w:rsid w:val="00730793"/>
    <w:rsid w:val="007C35F7"/>
    <w:rsid w:val="007D06B6"/>
    <w:rsid w:val="0080605E"/>
    <w:rsid w:val="00845198"/>
    <w:rsid w:val="00846991"/>
    <w:rsid w:val="00886960"/>
    <w:rsid w:val="008E77BC"/>
    <w:rsid w:val="009370F2"/>
    <w:rsid w:val="0095009D"/>
    <w:rsid w:val="009501E8"/>
    <w:rsid w:val="009727A3"/>
    <w:rsid w:val="00972CE5"/>
    <w:rsid w:val="00983D9C"/>
    <w:rsid w:val="009A2A62"/>
    <w:rsid w:val="009B7ACC"/>
    <w:rsid w:val="009E1168"/>
    <w:rsid w:val="00A133B4"/>
    <w:rsid w:val="00A314CB"/>
    <w:rsid w:val="00A45627"/>
    <w:rsid w:val="00A54623"/>
    <w:rsid w:val="00A73AFE"/>
    <w:rsid w:val="00A7649E"/>
    <w:rsid w:val="00A810B0"/>
    <w:rsid w:val="00A83490"/>
    <w:rsid w:val="00A97ACF"/>
    <w:rsid w:val="00AA5005"/>
    <w:rsid w:val="00AB3429"/>
    <w:rsid w:val="00AD39F0"/>
    <w:rsid w:val="00B25E1F"/>
    <w:rsid w:val="00B27BDB"/>
    <w:rsid w:val="00B54631"/>
    <w:rsid w:val="00B64DA9"/>
    <w:rsid w:val="00B93E17"/>
    <w:rsid w:val="00C2518A"/>
    <w:rsid w:val="00C30E08"/>
    <w:rsid w:val="00C40502"/>
    <w:rsid w:val="00C42967"/>
    <w:rsid w:val="00C81A7A"/>
    <w:rsid w:val="00C85ADC"/>
    <w:rsid w:val="00C93D7F"/>
    <w:rsid w:val="00CB27DB"/>
    <w:rsid w:val="00CB66CE"/>
    <w:rsid w:val="00CD540C"/>
    <w:rsid w:val="00D56600"/>
    <w:rsid w:val="00D7118C"/>
    <w:rsid w:val="00D910A4"/>
    <w:rsid w:val="00DA2183"/>
    <w:rsid w:val="00DA4509"/>
    <w:rsid w:val="00DA50CB"/>
    <w:rsid w:val="00DA5351"/>
    <w:rsid w:val="00DB24EB"/>
    <w:rsid w:val="00E05CD2"/>
    <w:rsid w:val="00E56C5B"/>
    <w:rsid w:val="00E925E0"/>
    <w:rsid w:val="00EB6240"/>
    <w:rsid w:val="00F43D1C"/>
    <w:rsid w:val="00F96411"/>
    <w:rsid w:val="00FA5DD9"/>
    <w:rsid w:val="00FB1988"/>
    <w:rsid w:val="0150037C"/>
    <w:rsid w:val="0AC53E28"/>
    <w:rsid w:val="0D7E7AD4"/>
    <w:rsid w:val="14E85861"/>
    <w:rsid w:val="161D5B3A"/>
    <w:rsid w:val="22845F93"/>
    <w:rsid w:val="24EE1AEE"/>
    <w:rsid w:val="25D11A7C"/>
    <w:rsid w:val="2A233558"/>
    <w:rsid w:val="2D2C248A"/>
    <w:rsid w:val="2E0430D6"/>
    <w:rsid w:val="30B3529A"/>
    <w:rsid w:val="3267105F"/>
    <w:rsid w:val="380A27E3"/>
    <w:rsid w:val="3C7035B3"/>
    <w:rsid w:val="3D08000F"/>
    <w:rsid w:val="3ED80DBD"/>
    <w:rsid w:val="44743BD9"/>
    <w:rsid w:val="468C7FCC"/>
    <w:rsid w:val="4D470D0E"/>
    <w:rsid w:val="50E20E27"/>
    <w:rsid w:val="55922DD5"/>
    <w:rsid w:val="567E4C8E"/>
    <w:rsid w:val="5C0B04CB"/>
    <w:rsid w:val="5DB26242"/>
    <w:rsid w:val="63A7236F"/>
    <w:rsid w:val="6D4A7A61"/>
    <w:rsid w:val="6EBC7B8F"/>
    <w:rsid w:val="6ECF0F37"/>
    <w:rsid w:val="71751495"/>
    <w:rsid w:val="775A78D7"/>
    <w:rsid w:val="7CA34DF7"/>
    <w:rsid w:val="7E4F5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 w:type="paragraph" w:customStyle="1" w:styleId="10">
    <w:name w:val="【公文1】标题"/>
    <w:basedOn w:val="1"/>
    <w:next w:val="1"/>
    <w:qFormat/>
    <w:uiPriority w:val="0"/>
    <w:pPr>
      <w:spacing w:line="700" w:lineRule="exact"/>
      <w:ind w:firstLine="0" w:firstLineChars="0"/>
      <w:jc w:val="center"/>
    </w:pPr>
    <w:rPr>
      <w:rFonts w:ascii="Times New Roman" w:hAnsi="Times New Roman" w:eastAsia="方正小标宋简体" w:cs="Times New Roman"/>
      <w:sz w:val="44"/>
    </w:rPr>
  </w:style>
  <w:style w:type="paragraph" w:customStyle="1" w:styleId="11">
    <w:name w:val="【公文2】副标题"/>
    <w:basedOn w:val="10"/>
    <w:next w:val="1"/>
    <w:qFormat/>
    <w:uiPriority w:val="0"/>
    <w:pPr>
      <w:spacing w:line="560" w:lineRule="exact"/>
    </w:pPr>
    <w:rPr>
      <w:rFonts w:ascii="Times New Roman" w:eastAsia="楷体_GB2312"/>
      <w:sz w:val="32"/>
    </w:rPr>
  </w:style>
  <w:style w:type="paragraph" w:customStyle="1" w:styleId="12">
    <w:name w:val="【公文3】一级标题"/>
    <w:basedOn w:val="11"/>
    <w:next w:val="1"/>
    <w:qFormat/>
    <w:uiPriority w:val="0"/>
    <w:pPr>
      <w:ind w:firstLine="420" w:firstLineChars="200"/>
      <w:jc w:val="left"/>
    </w:pPr>
    <w:rPr>
      <w:rFonts w:ascii="Times New Roman" w:eastAsia="黑体"/>
    </w:rPr>
  </w:style>
  <w:style w:type="paragraph" w:customStyle="1" w:styleId="13">
    <w:name w:val="【公文4】二级标题"/>
    <w:basedOn w:val="12"/>
    <w:next w:val="1"/>
    <w:qFormat/>
    <w:uiPriority w:val="0"/>
    <w:rPr>
      <w:rFonts w:ascii="Times New Roman" w:eastAsia="楷体_GB2312"/>
    </w:rPr>
  </w:style>
  <w:style w:type="paragraph" w:customStyle="1" w:styleId="14">
    <w:name w:val="【公文5】正文"/>
    <w:basedOn w:val="13"/>
    <w:qFormat/>
    <w:uiPriority w:val="0"/>
    <w:pPr>
      <w:jc w:val="both"/>
    </w:pPr>
    <w:rPr>
      <w:rFonts w:ascii="Times New Roman" w:hAnsi="Times New Roman" w:eastAsia="仿宋_GB2312"/>
    </w:rPr>
  </w:style>
  <w:style w:type="character" w:customStyle="1" w:styleId="15">
    <w:name w:val="页眉 Char"/>
    <w:basedOn w:val="7"/>
    <w:link w:val="3"/>
    <w:qFormat/>
    <w:uiPriority w:val="99"/>
    <w:rPr>
      <w:sz w:val="18"/>
      <w:szCs w:val="18"/>
    </w:rPr>
  </w:style>
  <w:style w:type="character" w:customStyle="1" w:styleId="16">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699</Words>
  <Characters>3988</Characters>
  <Lines>33</Lines>
  <Paragraphs>9</Paragraphs>
  <TotalTime>246</TotalTime>
  <ScaleCrop>false</ScaleCrop>
  <LinksUpToDate>false</LinksUpToDate>
  <CharactersWithSpaces>4678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2021-12-08T02:08:00Z</dcterms:created>
  <dc:creator>pazu</dc:creator>
  <cp:lastModifiedBy>流光飞舞</cp:lastModifiedBy>
  <cp:lastPrinted>2022-03-11T02:51:00Z</cp:lastPrinted>
  <dcterms:modified xsi:type="dcterms:W3CDTF">2022-03-24T08:50:38Z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C18FAD81629E48B0835C85C04DF54AA2</vt:lpwstr>
  </property>
</Properties>
</file>