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40ACA">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方正小标宋简体" w:hAnsi="方正小标宋简体" w:eastAsia="方正小标宋简体" w:cs="Times New Roman"/>
          <w:kern w:val="0"/>
          <w:sz w:val="44"/>
          <w:szCs w:val="44"/>
        </w:rPr>
      </w:pPr>
    </w:p>
    <w:p w14:paraId="2B17D6C9">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简体" w:hAnsi="方正小标宋简体" w:eastAsia="方正小标宋简体" w:cs="Times New Roman"/>
          <w:kern w:val="0"/>
          <w:sz w:val="44"/>
          <w:szCs w:val="44"/>
        </w:rPr>
      </w:pPr>
      <w:r>
        <w:rPr>
          <w:rFonts w:hint="eastAsia" w:ascii="方正小标宋简体" w:hAnsi="方正小标宋简体" w:eastAsia="方正小标宋简体" w:cs="Times New Roman"/>
          <w:kern w:val="0"/>
          <w:sz w:val="44"/>
          <w:szCs w:val="44"/>
        </w:rPr>
        <w:t>济南市科学技术局</w:t>
      </w:r>
    </w:p>
    <w:p w14:paraId="71FB6D78">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Times New Roman"/>
          <w:kern w:val="0"/>
          <w:sz w:val="44"/>
          <w:szCs w:val="44"/>
        </w:rPr>
        <w:t>2024年政府信息公开工作年度报告</w:t>
      </w:r>
    </w:p>
    <w:p w14:paraId="68E63EB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p>
    <w:p w14:paraId="5D962ED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本年度报告是根据《中华人民共和国政府信息公开条例》（以下简称《条例》）有关规定，按照省、市政府工作最新要求，由济南市科学技术局编制。（报告中所列数据的统计期限自202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年12月31日止）</w:t>
      </w:r>
    </w:p>
    <w:p w14:paraId="045B7F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一、总体情况</w:t>
      </w:r>
    </w:p>
    <w:p w14:paraId="729FC3F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Segoe UI" w:hAnsi="Segoe UI" w:eastAsia="Segoe UI" w:cs="Segoe UI"/>
          <w:i w:val="0"/>
          <w:iCs w:val="0"/>
          <w:caps w:val="0"/>
          <w:color w:val="1F2329"/>
          <w:spacing w:val="0"/>
          <w:sz w:val="27"/>
          <w:szCs w:val="27"/>
        </w:rPr>
      </w:pPr>
      <w:r>
        <w:rPr>
          <w:rFonts w:hint="default" w:ascii="仿宋_GB2312" w:hAnsi="仿宋_GB2312" w:eastAsia="仿宋_GB2312" w:cs="仿宋_GB2312"/>
          <w:sz w:val="32"/>
          <w:szCs w:val="32"/>
          <w:lang w:val="en-US" w:eastAsia="zh-CN"/>
        </w:rPr>
        <w:t>2024年，济南市科学技术局认真落实党中央</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市政务公开有关工作部署，将《2024年济南市政务公开工作要点》切实贯彻落实到位，推动政务透明化、服务高效化。</w:t>
      </w:r>
    </w:p>
    <w:p w14:paraId="3D2AC9B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sz w:val="32"/>
          <w:szCs w:val="32"/>
        </w:rPr>
        <w:t>（一）深化主动公开</w:t>
      </w:r>
    </w:p>
    <w:p w14:paraId="0D170D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聚焦科技创新建设，全力推进信息公开。</w:t>
      </w:r>
      <w:r>
        <w:rPr>
          <w:rFonts w:hint="eastAsia" w:ascii="仿宋_GB2312" w:hAnsi="仿宋_GB2312" w:eastAsia="仿宋_GB2312" w:cs="仿宋_GB2312"/>
          <w:sz w:val="32"/>
          <w:szCs w:val="32"/>
          <w:lang w:val="en-US" w:eastAsia="zh-CN"/>
        </w:rPr>
        <w:t>聚焦“项目深化年”，重点</w:t>
      </w:r>
      <w:r>
        <w:rPr>
          <w:rFonts w:hint="default" w:ascii="仿宋_GB2312" w:hAnsi="仿宋_GB2312" w:eastAsia="仿宋_GB2312" w:cs="仿宋_GB2312"/>
          <w:sz w:val="32"/>
          <w:szCs w:val="32"/>
          <w:lang w:val="en-US" w:eastAsia="zh-CN"/>
        </w:rPr>
        <w:t>公开深化</w:t>
      </w:r>
      <w:r>
        <w:rPr>
          <w:rFonts w:hint="eastAsia" w:ascii="仿宋_GB2312" w:hAnsi="仿宋_GB2312" w:eastAsia="仿宋_GB2312" w:cs="仿宋_GB2312"/>
          <w:sz w:val="32"/>
          <w:szCs w:val="32"/>
          <w:lang w:val="en-US" w:eastAsia="zh-CN"/>
        </w:rPr>
        <w:t>科技体制</w:t>
      </w:r>
      <w:r>
        <w:rPr>
          <w:rFonts w:hint="default" w:ascii="仿宋_GB2312" w:hAnsi="仿宋_GB2312" w:eastAsia="仿宋_GB2312" w:cs="仿宋_GB2312"/>
          <w:sz w:val="32"/>
          <w:szCs w:val="32"/>
          <w:lang w:val="en-US" w:eastAsia="zh-CN"/>
        </w:rPr>
        <w:t>改革、推进数字济南建设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发展新质生产力</w:t>
      </w:r>
      <w:r>
        <w:rPr>
          <w:rFonts w:hint="eastAsia" w:ascii="仿宋_GB2312" w:hAnsi="仿宋_GB2312" w:eastAsia="仿宋_GB2312" w:cs="仿宋_GB2312"/>
          <w:sz w:val="32"/>
          <w:szCs w:val="32"/>
          <w:lang w:val="en-US" w:eastAsia="zh-CN"/>
        </w:rPr>
        <w:t>等方面科技创新</w:t>
      </w:r>
      <w:r>
        <w:rPr>
          <w:rFonts w:hint="default" w:ascii="仿宋_GB2312" w:hAnsi="仿宋_GB2312" w:eastAsia="仿宋_GB2312" w:cs="仿宋_GB2312"/>
          <w:sz w:val="32"/>
          <w:szCs w:val="32"/>
          <w:lang w:val="en-US" w:eastAsia="zh-CN"/>
        </w:rPr>
        <w:t>信息710条。主动公开通知</w:t>
      </w:r>
      <w:r>
        <w:rPr>
          <w:rFonts w:hint="eastAsia" w:ascii="仿宋_GB2312" w:hAnsi="仿宋_GB2312" w:eastAsia="仿宋_GB2312" w:cs="仿宋_GB2312"/>
          <w:sz w:val="32"/>
          <w:szCs w:val="32"/>
          <w:lang w:val="en-US" w:eastAsia="zh-CN"/>
        </w:rPr>
        <w:t>公告</w:t>
      </w:r>
      <w:r>
        <w:rPr>
          <w:rFonts w:hint="default" w:ascii="仿宋_GB2312" w:hAnsi="仿宋_GB2312" w:eastAsia="仿宋_GB2312" w:cs="仿宋_GB2312"/>
          <w:sz w:val="32"/>
          <w:szCs w:val="32"/>
          <w:lang w:val="en-US" w:eastAsia="zh-CN"/>
        </w:rPr>
        <w:t>类文件124条，增强</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透明度。主动公开服务科技创新发展的政策法规</w:t>
      </w:r>
      <w:r>
        <w:rPr>
          <w:rFonts w:hint="eastAsia" w:ascii="仿宋_GB2312" w:hAnsi="仿宋_GB2312" w:eastAsia="仿宋_GB2312" w:cs="仿宋_GB2312"/>
          <w:sz w:val="32"/>
          <w:szCs w:val="32"/>
          <w:lang w:val="en-US" w:eastAsia="zh-CN"/>
        </w:rPr>
        <w:t>（含印发的</w:t>
      </w:r>
      <w:r>
        <w:rPr>
          <w:rFonts w:hint="default" w:ascii="仿宋_GB2312" w:eastAsia="仿宋_GB2312" w:cs="仿宋_GB2312"/>
          <w:sz w:val="31"/>
          <w:szCs w:val="31"/>
        </w:rPr>
        <w:t>规范性文件1件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件</w:t>
      </w:r>
      <w:r>
        <w:rPr>
          <w:rFonts w:hint="eastAsia" w:asci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行政执法信息22条，</w:t>
      </w:r>
      <w:r>
        <w:rPr>
          <w:rFonts w:hint="default" w:ascii="仿宋_GB2312" w:hAnsi="仿宋_GB2312" w:eastAsia="仿宋_GB2312" w:cs="仿宋_GB2312"/>
          <w:sz w:val="32"/>
          <w:szCs w:val="32"/>
          <w:lang w:val="en-US" w:eastAsia="zh-CN"/>
        </w:rPr>
        <w:t>为科技创新营造良好的法治环境。</w:t>
      </w:r>
    </w:p>
    <w:p w14:paraId="6275BEB3">
      <w:pPr>
        <w:pStyle w:val="15"/>
        <w:bidi w:val="0"/>
        <w:rPr>
          <w:rFonts w:hint="eastAsia"/>
          <w:lang w:eastAsia="zh-CN"/>
        </w:rPr>
      </w:pPr>
      <w:r>
        <w:rPr>
          <w:rFonts w:hint="eastAsia"/>
          <w:lang w:eastAsia="zh-CN"/>
        </w:rPr>
        <w:drawing>
          <wp:inline distT="0" distB="0" distL="114300" distR="114300">
            <wp:extent cx="5071110" cy="4055110"/>
            <wp:effectExtent l="0" t="0" r="15240" b="254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071110" cy="4055110"/>
                    </a:xfrm>
                    <a:prstGeom prst="rect">
                      <a:avLst/>
                    </a:prstGeom>
                  </pic:spPr>
                </pic:pic>
              </a:graphicData>
            </a:graphic>
          </wp:inline>
        </w:drawing>
      </w:r>
    </w:p>
    <w:p w14:paraId="7E2A047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二是深化</w:t>
      </w:r>
      <w:r>
        <w:rPr>
          <w:rFonts w:hint="default" w:ascii="仿宋_GB2312" w:hAnsi="仿宋_GB2312" w:eastAsia="仿宋_GB2312" w:cs="仿宋_GB2312"/>
          <w:sz w:val="32"/>
          <w:szCs w:val="32"/>
          <w:lang w:val="en-US" w:eastAsia="zh-CN"/>
        </w:rPr>
        <w:t>科技政策解读</w:t>
      </w:r>
      <w:r>
        <w:rPr>
          <w:rFonts w:hint="eastAsia" w:ascii="仿宋_GB2312" w:hAnsi="仿宋_GB2312" w:eastAsia="仿宋_GB2312" w:cs="仿宋_GB2312"/>
          <w:sz w:val="32"/>
          <w:szCs w:val="32"/>
          <w:lang w:val="en-US" w:eastAsia="zh-CN"/>
        </w:rPr>
        <w:t>，加强</w:t>
      </w:r>
      <w:r>
        <w:rPr>
          <w:rFonts w:hint="default" w:ascii="仿宋_GB2312" w:hAnsi="仿宋_GB2312" w:eastAsia="仿宋_GB2312" w:cs="仿宋_GB2312"/>
          <w:sz w:val="32"/>
          <w:szCs w:val="32"/>
          <w:lang w:val="en-US" w:eastAsia="zh-CN"/>
        </w:rPr>
        <w:t>公众互动交流</w:t>
      </w:r>
      <w:r>
        <w:rPr>
          <w:rFonts w:hint="eastAsia" w:ascii="仿宋_GB2312" w:hAnsi="仿宋_GB2312" w:eastAsia="仿宋_GB2312" w:cs="仿宋_GB2312"/>
          <w:sz w:val="32"/>
          <w:szCs w:val="32"/>
          <w:lang w:val="en-US" w:eastAsia="zh-CN"/>
        </w:rPr>
        <w:t>。解读规范性文件1篇，图文解读政策1件</w:t>
      </w:r>
      <w:r>
        <w:rPr>
          <w:rFonts w:hint="default" w:ascii="仿宋_GB2312" w:hAnsi="仿宋_GB2312" w:eastAsia="仿宋_GB2312" w:cs="仿宋_GB2312"/>
          <w:sz w:val="32"/>
          <w:szCs w:val="32"/>
          <w:lang w:val="en-US" w:eastAsia="zh-CN"/>
        </w:rPr>
        <w:t>，以更加直观、生动的方式呈现政策要点。主要负责同志带头对科技政策进行解读，引领政策宣传工作走向深入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积极组织或参与召开新闻发布会4次，及时向公众传递最新政策动态和工作进展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主要负责同志带队参加济南人民广播电台“作风监督热线”，有效提升了公众对科技政策的关注度和参与度。</w:t>
      </w:r>
    </w:p>
    <w:p w14:paraId="5DFE576A">
      <w:pPr>
        <w:pStyle w:val="15"/>
        <w:bidi w:val="0"/>
        <w:rPr>
          <w:rFonts w:hint="eastAsia"/>
          <w:lang w:eastAsia="zh-CN"/>
        </w:rPr>
      </w:pPr>
      <w:r>
        <w:rPr>
          <w:rFonts w:hint="eastAsia"/>
          <w:lang w:eastAsia="zh-CN"/>
        </w:rPr>
        <w:drawing>
          <wp:inline distT="0" distB="0" distL="114300" distR="114300">
            <wp:extent cx="4991100" cy="2733675"/>
            <wp:effectExtent l="0" t="0" r="0" b="9525"/>
            <wp:docPr id="5" name="图片 5" descr="微信截图_2025011701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50117012223"/>
                    <pic:cNvPicPr>
                      <a:picLocks noChangeAspect="1"/>
                    </pic:cNvPicPr>
                  </pic:nvPicPr>
                  <pic:blipFill>
                    <a:blip r:embed="rId6"/>
                    <a:stretch>
                      <a:fillRect/>
                    </a:stretch>
                  </pic:blipFill>
                  <pic:spPr>
                    <a:xfrm>
                      <a:off x="0" y="0"/>
                      <a:ext cx="4991100" cy="2733675"/>
                    </a:xfrm>
                    <a:prstGeom prst="rect">
                      <a:avLst/>
                    </a:prstGeom>
                  </pic:spPr>
                </pic:pic>
              </a:graphicData>
            </a:graphic>
          </wp:inline>
        </w:drawing>
      </w:r>
    </w:p>
    <w:p w14:paraId="411A3EA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lang w:eastAsia="zh-CN"/>
        </w:rPr>
      </w:pPr>
      <w:r>
        <w:rPr>
          <w:rFonts w:hint="eastAsia"/>
          <w:lang w:eastAsia="zh-CN"/>
        </w:rPr>
        <w:t>三是</w:t>
      </w:r>
      <w:r>
        <w:rPr>
          <w:rFonts w:hint="eastAsia"/>
          <w:lang w:val="en-US" w:eastAsia="zh-CN"/>
        </w:rPr>
        <w:t>强化</w:t>
      </w:r>
      <w:r>
        <w:rPr>
          <w:rFonts w:hint="eastAsia"/>
          <w:lang w:eastAsia="zh-CN"/>
        </w:rPr>
        <w:t>重点</w:t>
      </w:r>
      <w:r>
        <w:rPr>
          <w:rFonts w:hint="eastAsia"/>
          <w:lang w:val="en-US" w:eastAsia="zh-CN"/>
        </w:rPr>
        <w:t>工作</w:t>
      </w:r>
      <w:r>
        <w:rPr>
          <w:rFonts w:hint="eastAsia"/>
          <w:lang w:eastAsia="zh-CN"/>
        </w:rPr>
        <w:t>公开，</w:t>
      </w:r>
      <w:r>
        <w:rPr>
          <w:rFonts w:hint="eastAsia"/>
          <w:lang w:val="en-US" w:eastAsia="zh-CN"/>
        </w:rPr>
        <w:t>促进政务工作透明化</w:t>
      </w:r>
      <w:r>
        <w:rPr>
          <w:rFonts w:hint="eastAsia"/>
          <w:lang w:eastAsia="zh-CN"/>
        </w:rPr>
        <w:t>。</w:t>
      </w:r>
      <w:r>
        <w:rPr>
          <w:rFonts w:hint="eastAsia"/>
          <w:lang w:val="en-US" w:eastAsia="zh-CN"/>
        </w:rPr>
        <w:t>在财政信息方面，主动公开2024年部门预算、2023年度部门决算等信息，让财政资金的规划和使用置于公众监督之下。在政策制定方面，开展调查征集活动1次，让政策制定更贴合群众实际需求。在重要会议方面，坚持常态化公开局长办公会会议纪要及解读，共发布5条信息，向公众传达决策过程和工作思路；及时公开全市科技系统工作会议，快速传达科技工作动态。</w:t>
      </w:r>
    </w:p>
    <w:p w14:paraId="13EF2D1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ascii="楷体_GB2312" w:eastAsia="楷体_GB2312"/>
          <w:lang w:eastAsia="zh-CN"/>
        </w:rPr>
      </w:pPr>
      <w:r>
        <w:rPr>
          <w:rFonts w:hint="eastAsia" w:ascii="楷体_GB2312" w:eastAsia="楷体_GB2312"/>
          <w:lang w:eastAsia="zh-CN"/>
        </w:rPr>
        <w:t>（二）</w:t>
      </w:r>
      <w:r>
        <w:rPr>
          <w:rFonts w:ascii="楷体_GB2312" w:eastAsia="楷体_GB2312"/>
          <w:lang w:eastAsia="zh-CN"/>
        </w:rPr>
        <w:t>加强依申请公开</w:t>
      </w:r>
    </w:p>
    <w:p w14:paraId="37A6E868">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lang w:eastAsia="zh-CN"/>
        </w:rPr>
      </w:pPr>
      <w:r>
        <w:rPr>
          <w:rFonts w:hint="eastAsia"/>
          <w:lang w:val="en-US" w:eastAsia="zh-CN"/>
        </w:rPr>
        <w:t>畅通依申请公开受理渠道，及时更新政府信息公开指南，为公众获取政府信息提供便利。严格遵循法律法规，将提高答复的及时性与针对性作为工作重点，确保答复内容准确、规范。对于无法提供政府信息的情况，在告知书中阐述理由。共受理依申请公开事项2件，均按时办结。</w:t>
      </w:r>
    </w:p>
    <w:p w14:paraId="32B46E97">
      <w:pPr>
        <w:pStyle w:val="15"/>
        <w:bidi w:val="0"/>
        <w:rPr>
          <w:lang w:eastAsia="zh-CN"/>
        </w:rPr>
      </w:pPr>
      <w:r>
        <w:rPr>
          <w:rFonts w:hint="eastAsia"/>
          <w:lang w:eastAsia="zh-CN"/>
        </w:rPr>
        <w:drawing>
          <wp:inline distT="0" distB="0" distL="114300" distR="114300">
            <wp:extent cx="4694555" cy="3178810"/>
            <wp:effectExtent l="4445" t="5080" r="6350" b="16510"/>
            <wp:docPr id="11" name="图表 11" descr="7b0a202020202263686172745265734964223a2022343636393838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03B29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right="0" w:rightChars="0" w:firstLine="620" w:firstLineChars="200"/>
        <w:jc w:val="both"/>
        <w:textAlignment w:val="auto"/>
        <w:rPr>
          <w:rFonts w:ascii="楷体_GB2312" w:eastAsia="楷体_GB2312" w:cs="楷体_GB2312"/>
          <w:sz w:val="31"/>
          <w:szCs w:val="31"/>
        </w:rPr>
      </w:pPr>
      <w:r>
        <w:rPr>
          <w:rFonts w:hint="eastAsia" w:ascii="楷体_GB2312" w:eastAsia="楷体_GB2312" w:cs="楷体_GB2312"/>
          <w:sz w:val="31"/>
          <w:szCs w:val="31"/>
          <w:lang w:eastAsia="zh-CN"/>
        </w:rPr>
        <w:t>（三）</w:t>
      </w:r>
      <w:r>
        <w:rPr>
          <w:rFonts w:hint="eastAsia" w:ascii="楷体_GB2312" w:eastAsia="楷体_GB2312" w:cs="楷体_GB2312"/>
          <w:sz w:val="31"/>
          <w:szCs w:val="31"/>
          <w:lang w:val="en-US" w:eastAsia="zh-CN"/>
        </w:rPr>
        <w:t>规范</w:t>
      </w:r>
      <w:r>
        <w:rPr>
          <w:rFonts w:ascii="楷体_GB2312" w:eastAsia="楷体_GB2312" w:cs="楷体_GB2312"/>
          <w:sz w:val="31"/>
          <w:szCs w:val="31"/>
        </w:rPr>
        <w:t>政府信息管理</w:t>
      </w:r>
    </w:p>
    <w:p w14:paraId="7F8616B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right="0" w:rightChars="0" w:firstLine="620" w:firstLineChars="200"/>
        <w:jc w:val="both"/>
        <w:textAlignment w:val="auto"/>
        <w:rPr>
          <w:rFonts w:hint="default" w:ascii="仿宋_GB2312" w:eastAsia="仿宋_GB2312" w:cs="仿宋_GB2312"/>
          <w:sz w:val="31"/>
          <w:szCs w:val="31"/>
          <w:lang w:val="en-US" w:eastAsia="zh-CN"/>
        </w:rPr>
      </w:pPr>
      <w:r>
        <w:rPr>
          <w:rFonts w:hint="default" w:ascii="仿宋_GB2312" w:eastAsia="仿宋_GB2312" w:cs="仿宋_GB2312"/>
          <w:sz w:val="31"/>
          <w:szCs w:val="31"/>
          <w:lang w:val="en-US" w:eastAsia="zh-CN"/>
        </w:rPr>
        <w:t>为全面提升政务公开的标准化、规范化水平，印发《济南市科学技术局2024年度政务公开工作实施方案》等文件</w:t>
      </w:r>
      <w:r>
        <w:rPr>
          <w:rFonts w:hint="eastAsia" w:ascii="仿宋_GB2312" w:eastAsia="仿宋_GB2312" w:cs="仿宋_GB2312"/>
          <w:sz w:val="31"/>
          <w:szCs w:val="31"/>
          <w:lang w:val="en-US" w:eastAsia="zh-CN"/>
        </w:rPr>
        <w:t>，在</w:t>
      </w:r>
      <w:r>
        <w:rPr>
          <w:rFonts w:hint="default" w:ascii="仿宋_GB2312" w:eastAsia="仿宋_GB2312" w:cs="仿宋_GB2312"/>
          <w:sz w:val="31"/>
          <w:szCs w:val="31"/>
          <w:lang w:val="en-US" w:eastAsia="zh-CN"/>
        </w:rPr>
        <w:t>重点领域公开</w:t>
      </w:r>
      <w:r>
        <w:rPr>
          <w:rFonts w:hint="eastAsia" w:ascii="仿宋_GB2312" w:eastAsia="仿宋_GB2312" w:cs="仿宋_GB2312"/>
          <w:sz w:val="31"/>
          <w:szCs w:val="31"/>
          <w:lang w:val="en-US" w:eastAsia="zh-CN"/>
        </w:rPr>
        <w:t>、政策发布、政民政企交流、政务公开平台建设等方面提出了具体任务措施，</w:t>
      </w:r>
      <w:r>
        <w:rPr>
          <w:rFonts w:hint="default" w:ascii="仿宋_GB2312" w:eastAsia="仿宋_GB2312" w:cs="仿宋_GB2312"/>
          <w:sz w:val="31"/>
          <w:szCs w:val="31"/>
          <w:lang w:val="en-US" w:eastAsia="zh-CN"/>
        </w:rPr>
        <w:t>进一步压实责任</w:t>
      </w:r>
      <w:r>
        <w:rPr>
          <w:rFonts w:hint="eastAsia" w:ascii="仿宋_GB2312" w:eastAsia="仿宋_GB2312" w:cs="仿宋_GB2312"/>
          <w:sz w:val="31"/>
          <w:szCs w:val="31"/>
          <w:lang w:val="en-US" w:eastAsia="zh-CN"/>
        </w:rPr>
        <w:t>，</w:t>
      </w:r>
      <w:r>
        <w:rPr>
          <w:rFonts w:hint="default" w:ascii="仿宋_GB2312" w:eastAsia="仿宋_GB2312" w:cs="仿宋_GB2312"/>
          <w:sz w:val="31"/>
          <w:szCs w:val="31"/>
          <w:lang w:val="en-US" w:eastAsia="zh-CN"/>
        </w:rPr>
        <w:t>确保政务公开工作扎实推进。</w:t>
      </w:r>
    </w:p>
    <w:p w14:paraId="1EDDE569">
      <w:pPr>
        <w:pStyle w:val="15"/>
        <w:bidi w:val="0"/>
        <w:rPr>
          <w:rFonts w:hint="eastAsia"/>
          <w:lang w:eastAsia="zh-CN"/>
        </w:rPr>
      </w:pPr>
      <w:r>
        <w:rPr>
          <w:rFonts w:hint="eastAsia"/>
          <w:lang w:eastAsia="zh-CN"/>
        </w:rPr>
        <w:drawing>
          <wp:inline distT="0" distB="0" distL="114300" distR="114300">
            <wp:extent cx="4297680" cy="4497705"/>
            <wp:effectExtent l="0" t="0" r="7620" b="17145"/>
            <wp:docPr id="3" name="图片 3" descr="微信截图_2025011701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117011413"/>
                    <pic:cNvPicPr>
                      <a:picLocks noChangeAspect="1"/>
                    </pic:cNvPicPr>
                  </pic:nvPicPr>
                  <pic:blipFill>
                    <a:blip r:embed="rId8"/>
                    <a:stretch>
                      <a:fillRect/>
                    </a:stretch>
                  </pic:blipFill>
                  <pic:spPr>
                    <a:xfrm>
                      <a:off x="0" y="0"/>
                      <a:ext cx="4297680" cy="4497705"/>
                    </a:xfrm>
                    <a:prstGeom prst="rect">
                      <a:avLst/>
                    </a:prstGeom>
                  </pic:spPr>
                </pic:pic>
              </a:graphicData>
            </a:graphic>
          </wp:inline>
        </w:drawing>
      </w:r>
    </w:p>
    <w:p w14:paraId="74BACA5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right="0" w:rightChars="0" w:firstLine="640" w:firstLineChars="200"/>
        <w:jc w:val="both"/>
        <w:textAlignment w:val="auto"/>
        <w:rPr>
          <w:rFonts w:hint="eastAsia" w:ascii="楷体_GB2312" w:eastAsia="楷体_GB2312"/>
          <w:lang w:eastAsia="zh-CN"/>
        </w:rPr>
      </w:pPr>
      <w:r>
        <w:rPr>
          <w:rFonts w:hint="eastAsia" w:ascii="楷体_GB2312" w:hAnsi="仿宋_GB2312" w:eastAsia="楷体_GB2312" w:cstheme="minorBidi"/>
          <w:kern w:val="0"/>
          <w:sz w:val="32"/>
          <w:szCs w:val="32"/>
          <w:lang w:val="en-US" w:eastAsia="zh-CN" w:bidi="ar-SA"/>
        </w:rPr>
        <w:t>（四）强化平台建设</w:t>
      </w:r>
    </w:p>
    <w:p w14:paraId="103F7DA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right="0" w:rightChars="0" w:firstLine="620" w:firstLineChars="200"/>
        <w:jc w:val="both"/>
        <w:textAlignment w:val="auto"/>
        <w:rPr>
          <w:rFonts w:hint="default" w:ascii="仿宋_GB2312" w:eastAsia="仿宋_GB2312" w:cs="仿宋_GB2312"/>
          <w:sz w:val="31"/>
          <w:szCs w:val="31"/>
          <w:lang w:val="en-US" w:eastAsia="zh-CN"/>
        </w:rPr>
      </w:pPr>
      <w:r>
        <w:rPr>
          <w:rFonts w:hint="eastAsia" w:ascii="仿宋_GB2312" w:eastAsia="仿宋_GB2312" w:cs="仿宋_GB2312"/>
          <w:sz w:val="31"/>
          <w:szCs w:val="31"/>
          <w:lang w:val="en-US" w:eastAsia="zh-CN"/>
        </w:rPr>
        <w:t>充分发挥平台作用，</w:t>
      </w:r>
      <w:r>
        <w:rPr>
          <w:rFonts w:hint="default" w:ascii="仿宋_GB2312" w:eastAsia="仿宋_GB2312" w:cs="仿宋_GB2312"/>
          <w:sz w:val="31"/>
          <w:szCs w:val="31"/>
          <w:lang w:val="en-US" w:eastAsia="zh-CN"/>
        </w:rPr>
        <w:t>优化信息公开与政务服务工作。</w:t>
      </w:r>
      <w:r>
        <w:rPr>
          <w:rFonts w:hint="eastAsia" w:ascii="仿宋_GB2312" w:eastAsia="仿宋_GB2312" w:cs="仿宋_GB2312"/>
          <w:sz w:val="31"/>
          <w:szCs w:val="31"/>
          <w:lang w:val="en-US" w:eastAsia="zh-CN"/>
        </w:rPr>
        <w:t>一是政府门户网站方面，</w:t>
      </w:r>
      <w:r>
        <w:rPr>
          <w:rFonts w:hint="default" w:ascii="仿宋_GB2312" w:eastAsia="仿宋_GB2312" w:cs="仿宋_GB2312"/>
          <w:sz w:val="31"/>
          <w:szCs w:val="31"/>
          <w:lang w:val="en-US" w:eastAsia="zh-CN"/>
        </w:rPr>
        <w:t>充分依托市科技局网站，搭建功能完备的信息公开平台</w:t>
      </w:r>
      <w:r>
        <w:rPr>
          <w:rFonts w:hint="eastAsia" w:ascii="仿宋_GB2312" w:eastAsia="仿宋_GB2312" w:cs="仿宋_GB2312"/>
          <w:sz w:val="31"/>
          <w:szCs w:val="31"/>
          <w:lang w:val="en-US" w:eastAsia="zh-CN"/>
        </w:rPr>
        <w:t>，有告知工作安排的“</w:t>
      </w:r>
      <w:r>
        <w:rPr>
          <w:rFonts w:hint="default" w:ascii="仿宋_GB2312" w:eastAsia="仿宋_GB2312" w:cs="仿宋_GB2312"/>
          <w:sz w:val="31"/>
          <w:szCs w:val="31"/>
          <w:lang w:val="en-US" w:eastAsia="zh-CN"/>
        </w:rPr>
        <w:t>工作通知</w:t>
      </w:r>
      <w:r>
        <w:rPr>
          <w:rFonts w:hint="eastAsia" w:ascii="仿宋_GB2312" w:eastAsia="仿宋_GB2312" w:cs="仿宋_GB2312"/>
          <w:sz w:val="31"/>
          <w:szCs w:val="31"/>
          <w:lang w:val="en-US" w:eastAsia="zh-CN"/>
        </w:rPr>
        <w:t>”等专栏；有显示科技创新工作的“</w:t>
      </w:r>
      <w:r>
        <w:rPr>
          <w:rFonts w:hint="eastAsia" w:ascii="仿宋_GB2312" w:eastAsia="仿宋_GB2312" w:cs="仿宋_GB2312"/>
          <w:sz w:val="31"/>
          <w:szCs w:val="31"/>
          <w:lang w:val="en-US" w:eastAsia="zh-CN"/>
        </w:rPr>
        <w:fldChar w:fldCharType="begin"/>
      </w:r>
      <w:r>
        <w:rPr>
          <w:rFonts w:hint="eastAsia" w:ascii="仿宋_GB2312" w:eastAsia="仿宋_GB2312" w:cs="仿宋_GB2312"/>
          <w:sz w:val="31"/>
          <w:szCs w:val="31"/>
          <w:lang w:val="en-US" w:eastAsia="zh-CN"/>
        </w:rPr>
        <w:instrText xml:space="preserve"> HYPERLINK "http://jnsti.jinan.gov.cn/col/col67308/index.html" \o "优化营商环境" </w:instrText>
      </w:r>
      <w:r>
        <w:rPr>
          <w:rFonts w:hint="eastAsia" w:ascii="仿宋_GB2312" w:eastAsia="仿宋_GB2312" w:cs="仿宋_GB2312"/>
          <w:sz w:val="31"/>
          <w:szCs w:val="31"/>
          <w:lang w:val="en-US" w:eastAsia="zh-CN"/>
        </w:rPr>
        <w:fldChar w:fldCharType="separate"/>
      </w:r>
      <w:r>
        <w:rPr>
          <w:rFonts w:hint="eastAsia" w:ascii="仿宋_GB2312" w:eastAsia="仿宋_GB2312" w:cs="仿宋_GB2312"/>
          <w:sz w:val="31"/>
          <w:szCs w:val="31"/>
          <w:lang w:val="en-US" w:eastAsia="zh-CN"/>
        </w:rPr>
        <w:t>优化营商环境</w:t>
      </w:r>
      <w:r>
        <w:rPr>
          <w:rFonts w:hint="eastAsia" w:ascii="仿宋_GB2312" w:eastAsia="仿宋_GB2312" w:cs="仿宋_GB2312"/>
          <w:sz w:val="31"/>
          <w:szCs w:val="31"/>
          <w:lang w:val="en-US" w:eastAsia="zh-CN"/>
        </w:rPr>
        <w:fldChar w:fldCharType="end"/>
      </w:r>
      <w:r>
        <w:rPr>
          <w:rFonts w:hint="eastAsia" w:ascii="仿宋_GB2312" w:eastAsia="仿宋_GB2312" w:cs="仿宋_GB2312"/>
          <w:sz w:val="31"/>
          <w:szCs w:val="31"/>
          <w:lang w:val="en-US" w:eastAsia="zh-CN"/>
        </w:rPr>
        <w:t>”等专栏；有与公众互动的“</w:t>
      </w:r>
      <w:r>
        <w:rPr>
          <w:rFonts w:hint="default" w:ascii="仿宋_GB2312" w:eastAsia="仿宋_GB2312" w:cs="仿宋_GB2312"/>
          <w:sz w:val="31"/>
          <w:szCs w:val="31"/>
          <w:lang w:val="en-US" w:eastAsia="zh-CN"/>
        </w:rPr>
        <w:t>民生连线</w:t>
      </w:r>
      <w:r>
        <w:rPr>
          <w:rFonts w:hint="eastAsia" w:ascii="仿宋_GB2312" w:eastAsia="仿宋_GB2312" w:cs="仿宋_GB2312"/>
          <w:sz w:val="31"/>
          <w:szCs w:val="31"/>
          <w:lang w:val="en-US" w:eastAsia="zh-CN"/>
        </w:rPr>
        <w:t>”</w:t>
      </w:r>
      <w:r>
        <w:rPr>
          <w:rFonts w:hint="default" w:ascii="仿宋_GB2312" w:eastAsia="仿宋_GB2312" w:cs="仿宋_GB2312"/>
          <w:sz w:val="31"/>
          <w:szCs w:val="31"/>
          <w:lang w:val="en-US" w:eastAsia="zh-CN"/>
        </w:rPr>
        <w:t>等专栏</w:t>
      </w:r>
      <w:r>
        <w:rPr>
          <w:rFonts w:hint="eastAsia" w:ascii="仿宋_GB2312" w:eastAsia="仿宋_GB2312" w:cs="仿宋_GB2312"/>
          <w:sz w:val="31"/>
          <w:szCs w:val="31"/>
          <w:lang w:val="en-US" w:eastAsia="zh-CN"/>
        </w:rPr>
        <w:t>，</w:t>
      </w:r>
      <w:r>
        <w:rPr>
          <w:rFonts w:hint="default" w:ascii="仿宋_GB2312" w:eastAsia="仿宋_GB2312" w:cs="仿宋_GB2312"/>
          <w:sz w:val="31"/>
          <w:szCs w:val="31"/>
          <w:lang w:val="en-US" w:eastAsia="zh-CN"/>
        </w:rPr>
        <w:t>提升了信息传播的效率和透明度。</w:t>
      </w:r>
      <w:r>
        <w:rPr>
          <w:rFonts w:hint="eastAsia" w:ascii="仿宋_GB2312" w:eastAsia="仿宋_GB2312" w:cs="仿宋_GB2312"/>
          <w:sz w:val="31"/>
          <w:szCs w:val="31"/>
          <w:lang w:val="en-US" w:eastAsia="zh-CN"/>
        </w:rPr>
        <w:t>二是</w:t>
      </w:r>
      <w:r>
        <w:rPr>
          <w:rFonts w:hint="default" w:ascii="仿宋_GB2312" w:eastAsia="仿宋_GB2312" w:cs="仿宋_GB2312"/>
          <w:sz w:val="31"/>
          <w:szCs w:val="31"/>
          <w:lang w:val="en-US" w:eastAsia="zh-CN"/>
        </w:rPr>
        <w:t>新媒体</w:t>
      </w:r>
      <w:r>
        <w:rPr>
          <w:rFonts w:hint="eastAsia" w:ascii="仿宋_GB2312" w:eastAsia="仿宋_GB2312" w:cs="仿宋_GB2312"/>
          <w:sz w:val="31"/>
          <w:szCs w:val="31"/>
          <w:lang w:val="en-US" w:eastAsia="zh-CN"/>
        </w:rPr>
        <w:t>方面，</w:t>
      </w:r>
      <w:r>
        <w:rPr>
          <w:rFonts w:hint="default" w:ascii="仿宋_GB2312" w:eastAsia="仿宋_GB2312" w:cs="仿宋_GB2312"/>
          <w:sz w:val="31"/>
          <w:szCs w:val="31"/>
          <w:lang w:val="en-US" w:eastAsia="zh-CN"/>
        </w:rPr>
        <w:t>以</w:t>
      </w:r>
      <w:r>
        <w:rPr>
          <w:rFonts w:hint="eastAsia" w:ascii="仿宋_GB2312" w:eastAsia="仿宋_GB2312" w:cs="仿宋_GB2312"/>
          <w:sz w:val="31"/>
          <w:szCs w:val="31"/>
          <w:lang w:val="en-US" w:eastAsia="zh-CN"/>
        </w:rPr>
        <w:t>“</w:t>
      </w:r>
      <w:r>
        <w:rPr>
          <w:rFonts w:hint="default" w:ascii="仿宋_GB2312" w:eastAsia="仿宋_GB2312" w:cs="仿宋_GB2312"/>
          <w:sz w:val="31"/>
          <w:szCs w:val="31"/>
          <w:lang w:val="en-US" w:eastAsia="zh-CN"/>
        </w:rPr>
        <w:t>济南科技</w:t>
      </w:r>
      <w:r>
        <w:rPr>
          <w:rFonts w:hint="eastAsia" w:ascii="仿宋_GB2312" w:eastAsia="仿宋_GB2312" w:cs="仿宋_GB2312"/>
          <w:sz w:val="31"/>
          <w:szCs w:val="31"/>
          <w:lang w:val="en-US" w:eastAsia="zh-CN"/>
        </w:rPr>
        <w:t>”</w:t>
      </w:r>
      <w:r>
        <w:rPr>
          <w:rFonts w:hint="default" w:ascii="仿宋_GB2312" w:eastAsia="仿宋_GB2312" w:cs="仿宋_GB2312"/>
          <w:sz w:val="31"/>
          <w:szCs w:val="31"/>
          <w:lang w:val="en-US" w:eastAsia="zh-CN"/>
        </w:rPr>
        <w:t>微信公众号为</w:t>
      </w:r>
      <w:r>
        <w:rPr>
          <w:rFonts w:hint="eastAsia" w:ascii="仿宋_GB2312" w:eastAsia="仿宋_GB2312" w:cs="仿宋_GB2312"/>
          <w:sz w:val="31"/>
          <w:szCs w:val="31"/>
          <w:lang w:val="en-US" w:eastAsia="zh-CN"/>
        </w:rPr>
        <w:t>主</w:t>
      </w:r>
      <w:r>
        <w:rPr>
          <w:rFonts w:hint="default" w:ascii="仿宋_GB2312" w:eastAsia="仿宋_GB2312" w:cs="仿宋_GB2312"/>
          <w:sz w:val="31"/>
          <w:szCs w:val="31"/>
          <w:lang w:val="en-US" w:eastAsia="zh-CN"/>
        </w:rPr>
        <w:t>，</w:t>
      </w:r>
      <w:r>
        <w:rPr>
          <w:rFonts w:hint="eastAsia" w:ascii="仿宋_GB2312" w:eastAsia="仿宋_GB2312" w:cs="仿宋_GB2312"/>
          <w:sz w:val="31"/>
          <w:szCs w:val="31"/>
          <w:lang w:val="en-US" w:eastAsia="zh-CN"/>
        </w:rPr>
        <w:t>同时依托</w:t>
      </w:r>
      <w:r>
        <w:rPr>
          <w:rFonts w:hint="default" w:ascii="仿宋_GB2312" w:eastAsia="仿宋_GB2312" w:cs="仿宋_GB2312"/>
          <w:sz w:val="31"/>
          <w:szCs w:val="31"/>
          <w:lang w:val="en-US" w:eastAsia="zh-CN"/>
        </w:rPr>
        <w:t>大众日报、闪电新闻等新媒体客户端，构建全方位的信息发布网络，累计发布信息500余条。</w:t>
      </w:r>
      <w:r>
        <w:rPr>
          <w:rFonts w:hint="eastAsia" w:ascii="仿宋_GB2312" w:eastAsia="仿宋_GB2312" w:cs="仿宋_GB2312"/>
          <w:sz w:val="31"/>
          <w:szCs w:val="31"/>
          <w:lang w:val="en-US" w:eastAsia="zh-CN"/>
        </w:rPr>
        <w:t>三是政务系统方面，</w:t>
      </w:r>
      <w:r>
        <w:rPr>
          <w:rFonts w:hint="default" w:ascii="仿宋_GB2312" w:eastAsia="仿宋_GB2312" w:cs="仿宋_GB2312"/>
          <w:sz w:val="31"/>
          <w:szCs w:val="31"/>
          <w:lang w:val="en-US" w:eastAsia="zh-CN"/>
        </w:rPr>
        <w:t>科技计划申报与管理系统</w:t>
      </w:r>
      <w:r>
        <w:rPr>
          <w:rFonts w:hint="eastAsia" w:ascii="仿宋_GB2312" w:eastAsia="仿宋_GB2312" w:cs="仿宋_GB2312"/>
          <w:sz w:val="31"/>
          <w:szCs w:val="31"/>
          <w:lang w:val="en-US" w:eastAsia="zh-CN"/>
        </w:rPr>
        <w:t>依托山东省政务统一门户开展“一网通办”工作</w:t>
      </w:r>
      <w:r>
        <w:rPr>
          <w:rFonts w:hint="default" w:ascii="仿宋_GB2312" w:eastAsia="仿宋_GB2312" w:cs="仿宋_GB2312"/>
          <w:sz w:val="31"/>
          <w:szCs w:val="31"/>
          <w:lang w:val="en-US" w:eastAsia="zh-CN"/>
        </w:rPr>
        <w:t>，实现了业务办理的一体化</w:t>
      </w:r>
      <w:r>
        <w:rPr>
          <w:rFonts w:hint="eastAsia" w:ascii="仿宋_GB2312" w:eastAsia="仿宋_GB2312" w:cs="仿宋_GB2312"/>
          <w:sz w:val="31"/>
          <w:szCs w:val="31"/>
          <w:lang w:val="en-US" w:eastAsia="zh-CN"/>
        </w:rPr>
        <w:t>和</w:t>
      </w:r>
      <w:r>
        <w:rPr>
          <w:rFonts w:hint="default" w:ascii="仿宋_GB2312" w:eastAsia="仿宋_GB2312" w:cs="仿宋_GB2312"/>
          <w:sz w:val="31"/>
          <w:szCs w:val="31"/>
          <w:lang w:val="en-US" w:eastAsia="zh-CN"/>
        </w:rPr>
        <w:t>便捷化。</w:t>
      </w:r>
    </w:p>
    <w:p w14:paraId="41253889">
      <w:pPr>
        <w:pStyle w:val="2"/>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default" w:ascii="楷体_GB2312" w:eastAsia="楷体_GB2312"/>
          <w:lang w:val="en-US" w:eastAsia="zh-CN"/>
        </w:rPr>
      </w:pPr>
      <w:r>
        <w:rPr>
          <w:rFonts w:hint="eastAsia" w:ascii="楷体_GB2312" w:eastAsia="楷体_GB2312"/>
          <w:lang w:eastAsia="zh-CN"/>
        </w:rPr>
        <w:t>（五）</w:t>
      </w:r>
      <w:r>
        <w:rPr>
          <w:rFonts w:hint="eastAsia" w:ascii="楷体_GB2312" w:eastAsia="楷体_GB2312"/>
          <w:lang w:val="en-US" w:eastAsia="zh-CN"/>
        </w:rPr>
        <w:t>发挥</w:t>
      </w:r>
      <w:r>
        <w:rPr>
          <w:rFonts w:hint="eastAsia" w:ascii="楷体_GB2312" w:eastAsia="楷体_GB2312"/>
          <w:lang w:eastAsia="zh-CN"/>
        </w:rPr>
        <w:t>监督保障</w:t>
      </w:r>
      <w:r>
        <w:rPr>
          <w:rFonts w:hint="eastAsia" w:ascii="楷体_GB2312" w:eastAsia="楷体_GB2312"/>
          <w:lang w:val="en-US" w:eastAsia="zh-CN"/>
        </w:rPr>
        <w:t>作用</w:t>
      </w:r>
    </w:p>
    <w:p w14:paraId="7B4D5B8B">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kern w:val="0"/>
          <w:sz w:val="32"/>
          <w:szCs w:val="32"/>
        </w:rPr>
      </w:pPr>
      <w:r>
        <w:rPr>
          <w:rFonts w:hint="eastAsia" w:ascii="仿宋_GB2312" w:hAnsi="仿宋_GB2312" w:eastAsia="仿宋_GB2312"/>
          <w:kern w:val="0"/>
          <w:sz w:val="32"/>
          <w:szCs w:val="32"/>
          <w:lang w:val="en-US" w:eastAsia="zh-CN"/>
        </w:rPr>
        <w:t>高度重视与群众的沟通交流，全力做好“民声连线”及12345市民服务热线答复工作，办理12345市民服务热线155件，民生连线12件，切实回应群众关切。局主要负责同志亲自主抓，听取政务公开工作汇报1次；分管负责同志组织召开研究部署推进工作会议1次。组织召开政务信息公开培训会议1次，有效</w:t>
      </w:r>
      <w:r>
        <w:rPr>
          <w:rFonts w:hint="eastAsia" w:ascii="仿宋_GB2312" w:hAnsi="仿宋_GB2312" w:eastAsia="仿宋_GB2312"/>
          <w:kern w:val="0"/>
          <w:sz w:val="32"/>
          <w:szCs w:val="32"/>
        </w:rPr>
        <w:t>提升全局政务公开水平</w:t>
      </w:r>
      <w:r>
        <w:rPr>
          <w:rFonts w:hint="eastAsia" w:ascii="仿宋_GB2312" w:hAnsi="仿宋_GB2312" w:eastAsia="仿宋_GB2312"/>
          <w:kern w:val="0"/>
          <w:sz w:val="32"/>
          <w:szCs w:val="32"/>
          <w:lang w:val="en-US" w:eastAsia="zh-CN"/>
        </w:rPr>
        <w:t>。</w:t>
      </w:r>
    </w:p>
    <w:p w14:paraId="0EE7421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二、主动公开政府信息情况</w:t>
      </w:r>
    </w:p>
    <w:tbl>
      <w:tblPr>
        <w:tblStyle w:val="7"/>
        <w:tblW w:w="9900" w:type="dxa"/>
        <w:jc w:val="center"/>
        <w:tblLayout w:type="autofit"/>
        <w:tblCellMar>
          <w:top w:w="0" w:type="dxa"/>
          <w:left w:w="0" w:type="dxa"/>
          <w:bottom w:w="0" w:type="dxa"/>
          <w:right w:w="0" w:type="dxa"/>
        </w:tblCellMar>
      </w:tblPr>
      <w:tblGrid>
        <w:gridCol w:w="2595"/>
        <w:gridCol w:w="2435"/>
        <w:gridCol w:w="2435"/>
        <w:gridCol w:w="2435"/>
      </w:tblGrid>
      <w:tr w14:paraId="07BBEA76">
        <w:tblPrEx>
          <w:tblCellMar>
            <w:top w:w="0" w:type="dxa"/>
            <w:left w:w="0" w:type="dxa"/>
            <w:bottom w:w="0" w:type="dxa"/>
            <w:right w:w="0" w:type="dxa"/>
          </w:tblCellMar>
        </w:tblPrEx>
        <w:trPr>
          <w:trHeight w:val="340" w:hRule="atLeast"/>
          <w:jc w:val="center"/>
        </w:trPr>
        <w:tc>
          <w:tcPr>
            <w:tcW w:w="990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A8BFC9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第二十条第（一）项</w:t>
            </w:r>
          </w:p>
        </w:tc>
      </w:tr>
      <w:tr w14:paraId="177FB595">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41F218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AB1D23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本年</w:t>
            </w:r>
            <w:r>
              <w:rPr>
                <w:rFonts w:hint="eastAsia" w:ascii="仿宋_GB2312" w:hAnsi="仿宋_GB2312" w:eastAsia="仿宋_GB2312" w:cs="仿宋_GB2312"/>
                <w:kern w:val="0"/>
                <w:sz w:val="28"/>
                <w:szCs w:val="28"/>
              </w:rPr>
              <w:t>制发件数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339359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EEB995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现行有效件</w:t>
            </w:r>
            <w:r>
              <w:rPr>
                <w:rFonts w:hint="eastAsia" w:ascii="仿宋_GB2312" w:hAnsi="仿宋_GB2312" w:eastAsia="仿宋_GB2312" w:cs="仿宋_GB2312"/>
                <w:kern w:val="0"/>
                <w:sz w:val="28"/>
                <w:szCs w:val="28"/>
              </w:rPr>
              <w:t>数</w:t>
            </w:r>
          </w:p>
        </w:tc>
      </w:tr>
      <w:tr w14:paraId="2B65B6EF">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6DF1DA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7936FD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4952D6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CC6E53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r>
      <w:tr w14:paraId="7C51DF71">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52F7B3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15B1E3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2CE1BBD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611E2EA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p>
        </w:tc>
      </w:tr>
      <w:tr w14:paraId="3AD229E2">
        <w:tblPrEx>
          <w:tblCellMar>
            <w:top w:w="0" w:type="dxa"/>
            <w:left w:w="0" w:type="dxa"/>
            <w:bottom w:w="0" w:type="dxa"/>
            <w:right w:w="0" w:type="dxa"/>
          </w:tblCellMar>
        </w:tblPrEx>
        <w:trPr>
          <w:trHeight w:val="340" w:hRule="atLeast"/>
          <w:jc w:val="center"/>
        </w:trPr>
        <w:tc>
          <w:tcPr>
            <w:tcW w:w="99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A61ACA3">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第二十条第（五）项</w:t>
            </w:r>
          </w:p>
        </w:tc>
      </w:tr>
      <w:tr w14:paraId="16744F1E">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CDDBB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05617E3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本年处理决定数量</w:t>
            </w:r>
          </w:p>
        </w:tc>
      </w:tr>
      <w:tr w14:paraId="45212D2A">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1FFCF2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AC84B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不公开</w:t>
            </w:r>
          </w:p>
        </w:tc>
      </w:tr>
      <w:tr w14:paraId="6AE99A38">
        <w:tblPrEx>
          <w:tblCellMar>
            <w:top w:w="0" w:type="dxa"/>
            <w:left w:w="0" w:type="dxa"/>
            <w:bottom w:w="0" w:type="dxa"/>
            <w:right w:w="0" w:type="dxa"/>
          </w:tblCellMar>
        </w:tblPrEx>
        <w:trPr>
          <w:trHeight w:val="340" w:hRule="atLeast"/>
          <w:jc w:val="center"/>
        </w:trPr>
        <w:tc>
          <w:tcPr>
            <w:tcW w:w="99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F580F5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第二十条第（六）项</w:t>
            </w:r>
          </w:p>
        </w:tc>
      </w:tr>
      <w:tr w14:paraId="39539EA4">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5A47EA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2E4DB2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本年处理决定数量</w:t>
            </w:r>
          </w:p>
        </w:tc>
      </w:tr>
      <w:tr w14:paraId="3B74319A">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70EFBB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19772C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r>
      <w:tr w14:paraId="0540535B">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41D094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41597F5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r>
      <w:tr w14:paraId="1E55E299">
        <w:tblPrEx>
          <w:tblCellMar>
            <w:top w:w="0" w:type="dxa"/>
            <w:left w:w="0" w:type="dxa"/>
            <w:bottom w:w="0" w:type="dxa"/>
            <w:right w:w="0" w:type="dxa"/>
          </w:tblCellMar>
        </w:tblPrEx>
        <w:trPr>
          <w:trHeight w:val="340" w:hRule="atLeast"/>
          <w:jc w:val="center"/>
        </w:trPr>
        <w:tc>
          <w:tcPr>
            <w:tcW w:w="990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4CCC95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第二十条第（八）项</w:t>
            </w:r>
          </w:p>
        </w:tc>
      </w:tr>
      <w:tr w14:paraId="7377E1BB">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37BAEA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2BF710E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本年收费金额（单位：万元）</w:t>
            </w:r>
          </w:p>
        </w:tc>
      </w:tr>
      <w:tr w14:paraId="261B8BC2">
        <w:tblPrEx>
          <w:tblCellMar>
            <w:top w:w="0" w:type="dxa"/>
            <w:left w:w="0" w:type="dxa"/>
            <w:bottom w:w="0" w:type="dxa"/>
            <w:right w:w="0" w:type="dxa"/>
          </w:tblCellMar>
        </w:tblPrEx>
        <w:trPr>
          <w:trHeight w:val="340" w:hRule="atLeast"/>
          <w:jc w:val="center"/>
        </w:trPr>
        <w:tc>
          <w:tcPr>
            <w:tcW w:w="259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0E1F63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0AA4201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0</w:t>
            </w:r>
          </w:p>
        </w:tc>
      </w:tr>
    </w:tbl>
    <w:p w14:paraId="2B27C75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三、收到和处理政府信息公开申请情况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1052"/>
        <w:gridCol w:w="3707"/>
        <w:gridCol w:w="604"/>
        <w:gridCol w:w="577"/>
        <w:gridCol w:w="593"/>
        <w:gridCol w:w="606"/>
        <w:gridCol w:w="708"/>
        <w:gridCol w:w="567"/>
        <w:gridCol w:w="851"/>
      </w:tblGrid>
      <w:tr w14:paraId="7B104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5407" w:type="dxa"/>
            <w:gridSpan w:val="3"/>
            <w:vMerge w:val="restart"/>
            <w:shd w:val="clear" w:color="auto" w:fill="auto"/>
            <w:tcMar>
              <w:left w:w="108" w:type="dxa"/>
              <w:right w:w="108" w:type="dxa"/>
            </w:tcMar>
            <w:vAlign w:val="center"/>
          </w:tcPr>
          <w:p w14:paraId="126A3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hAnsi="Times New Roman" w:eastAsia="仿宋_GB2312"/>
                <w:sz w:val="24"/>
                <w:szCs w:val="24"/>
              </w:rPr>
            </w:pPr>
            <w:r>
              <w:rPr>
                <w:rFonts w:hint="eastAsia" w:ascii="楷体_GB2312" w:hAnsi="黑体" w:eastAsia="楷体_GB2312"/>
                <w:kern w:val="0"/>
                <w:sz w:val="24"/>
                <w:szCs w:val="24"/>
              </w:rPr>
              <w:t>（本列数据的勾稽关系为：第一项加第二项之和，等于第三项加第四项之和）</w:t>
            </w:r>
          </w:p>
        </w:tc>
        <w:tc>
          <w:tcPr>
            <w:tcW w:w="4506" w:type="dxa"/>
            <w:gridSpan w:val="7"/>
            <w:shd w:val="clear" w:color="auto" w:fill="auto"/>
            <w:tcMar>
              <w:left w:w="108" w:type="dxa"/>
              <w:right w:w="108" w:type="dxa"/>
            </w:tcMar>
            <w:vAlign w:val="center"/>
          </w:tcPr>
          <w:p w14:paraId="5005D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sz w:val="24"/>
                <w:szCs w:val="24"/>
              </w:rPr>
            </w:pPr>
            <w:r>
              <w:rPr>
                <w:rFonts w:hint="eastAsia" w:ascii="黑体" w:hAnsi="黑体" w:eastAsia="黑体"/>
                <w:kern w:val="0"/>
                <w:sz w:val="24"/>
                <w:szCs w:val="24"/>
              </w:rPr>
              <w:t>申请人情况</w:t>
            </w:r>
          </w:p>
        </w:tc>
      </w:tr>
      <w:tr w14:paraId="0181C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5407" w:type="dxa"/>
            <w:gridSpan w:val="3"/>
            <w:vMerge w:val="continue"/>
            <w:shd w:val="clear" w:color="auto" w:fill="auto"/>
            <w:tcMar>
              <w:left w:w="108" w:type="dxa"/>
              <w:right w:w="108" w:type="dxa"/>
            </w:tcMar>
            <w:vAlign w:val="center"/>
          </w:tcPr>
          <w:p w14:paraId="5C0F9506">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Times New Roman" w:eastAsia="仿宋_GB2312"/>
                <w:sz w:val="24"/>
                <w:szCs w:val="24"/>
              </w:rPr>
            </w:pPr>
          </w:p>
        </w:tc>
        <w:tc>
          <w:tcPr>
            <w:tcW w:w="604" w:type="dxa"/>
            <w:vMerge w:val="restart"/>
            <w:shd w:val="clear" w:color="auto" w:fill="auto"/>
            <w:tcMar>
              <w:left w:w="108" w:type="dxa"/>
              <w:right w:w="108" w:type="dxa"/>
            </w:tcMar>
            <w:vAlign w:val="center"/>
          </w:tcPr>
          <w:p w14:paraId="321BA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sz w:val="24"/>
                <w:szCs w:val="24"/>
              </w:rPr>
            </w:pPr>
            <w:r>
              <w:rPr>
                <w:rFonts w:hint="eastAsia" w:ascii="黑体" w:hAnsi="黑体" w:eastAsia="黑体"/>
                <w:kern w:val="0"/>
                <w:sz w:val="24"/>
                <w:szCs w:val="24"/>
              </w:rPr>
              <w:t>自然人</w:t>
            </w:r>
          </w:p>
        </w:tc>
        <w:tc>
          <w:tcPr>
            <w:tcW w:w="3051" w:type="dxa"/>
            <w:gridSpan w:val="5"/>
            <w:shd w:val="clear" w:color="auto" w:fill="auto"/>
            <w:tcMar>
              <w:left w:w="108" w:type="dxa"/>
              <w:right w:w="108" w:type="dxa"/>
            </w:tcMar>
            <w:vAlign w:val="center"/>
          </w:tcPr>
          <w:p w14:paraId="3B5CC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sz w:val="24"/>
                <w:szCs w:val="24"/>
              </w:rPr>
            </w:pPr>
            <w:r>
              <w:rPr>
                <w:rFonts w:hint="eastAsia" w:ascii="黑体" w:hAnsi="黑体" w:eastAsia="黑体"/>
                <w:kern w:val="0"/>
                <w:sz w:val="24"/>
                <w:szCs w:val="24"/>
              </w:rPr>
              <w:t>法人或其他组织</w:t>
            </w:r>
          </w:p>
        </w:tc>
        <w:tc>
          <w:tcPr>
            <w:tcW w:w="851" w:type="dxa"/>
            <w:vMerge w:val="restart"/>
            <w:shd w:val="clear" w:color="auto" w:fill="auto"/>
            <w:tcMar>
              <w:left w:w="108" w:type="dxa"/>
              <w:right w:w="108" w:type="dxa"/>
            </w:tcMar>
            <w:vAlign w:val="center"/>
          </w:tcPr>
          <w:p w14:paraId="229593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黑体" w:hAnsi="黑体" w:eastAsia="黑体"/>
                <w:sz w:val="24"/>
                <w:szCs w:val="24"/>
              </w:rPr>
            </w:pPr>
            <w:r>
              <w:rPr>
                <w:rFonts w:hint="eastAsia" w:ascii="黑体" w:hAnsi="黑体" w:eastAsia="黑体"/>
                <w:kern w:val="0"/>
                <w:sz w:val="24"/>
                <w:szCs w:val="24"/>
              </w:rPr>
              <w:t>总计</w:t>
            </w:r>
          </w:p>
        </w:tc>
      </w:tr>
      <w:tr w14:paraId="1E1A9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407" w:type="dxa"/>
            <w:gridSpan w:val="3"/>
            <w:vMerge w:val="continue"/>
            <w:shd w:val="clear" w:color="auto" w:fill="auto"/>
            <w:tcMar>
              <w:left w:w="108" w:type="dxa"/>
              <w:right w:w="108" w:type="dxa"/>
            </w:tcMar>
            <w:vAlign w:val="center"/>
          </w:tcPr>
          <w:p w14:paraId="0BFAF6DA">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Times New Roman" w:eastAsia="仿宋_GB2312"/>
                <w:sz w:val="24"/>
                <w:szCs w:val="24"/>
              </w:rPr>
            </w:pPr>
          </w:p>
        </w:tc>
        <w:tc>
          <w:tcPr>
            <w:tcW w:w="604" w:type="dxa"/>
            <w:vMerge w:val="continue"/>
            <w:shd w:val="clear" w:color="auto" w:fill="auto"/>
            <w:tcMar>
              <w:left w:w="108" w:type="dxa"/>
              <w:right w:w="108" w:type="dxa"/>
            </w:tcMar>
            <w:vAlign w:val="center"/>
          </w:tcPr>
          <w:p w14:paraId="6531E890">
            <w:pPr>
              <w:keepNext w:val="0"/>
              <w:keepLines w:val="0"/>
              <w:pageBreakBefore w:val="0"/>
              <w:kinsoku/>
              <w:wordWrap/>
              <w:overflowPunct/>
              <w:topLinePunct w:val="0"/>
              <w:autoSpaceDE/>
              <w:autoSpaceDN/>
              <w:bidi w:val="0"/>
              <w:adjustRightInd/>
              <w:snapToGrid/>
              <w:spacing w:line="260" w:lineRule="exact"/>
              <w:jc w:val="center"/>
              <w:textAlignment w:val="auto"/>
              <w:rPr>
                <w:rFonts w:ascii="黑体" w:hAnsi="黑体" w:eastAsia="黑体"/>
                <w:sz w:val="24"/>
                <w:szCs w:val="24"/>
              </w:rPr>
            </w:pPr>
          </w:p>
        </w:tc>
        <w:tc>
          <w:tcPr>
            <w:tcW w:w="577" w:type="dxa"/>
            <w:shd w:val="clear" w:color="auto" w:fill="auto"/>
            <w:tcMar>
              <w:left w:w="108" w:type="dxa"/>
              <w:right w:w="108" w:type="dxa"/>
            </w:tcMar>
            <w:vAlign w:val="center"/>
          </w:tcPr>
          <w:p w14:paraId="3E8AC30A">
            <w:pPr>
              <w:keepNext w:val="0"/>
              <w:keepLines w:val="0"/>
              <w:pageBreakBefore w:val="0"/>
              <w:widowControl/>
              <w:kinsoku/>
              <w:wordWrap/>
              <w:overflowPunct/>
              <w:topLinePunct w:val="0"/>
              <w:autoSpaceDE/>
              <w:autoSpaceDN/>
              <w:bidi w:val="0"/>
              <w:adjustRightInd/>
              <w:snapToGrid/>
              <w:spacing w:line="260" w:lineRule="exact"/>
              <w:ind w:left="-106" w:leftChars="-51" w:right="-107" w:rightChars="-51" w:hanging="1"/>
              <w:jc w:val="center"/>
              <w:textAlignment w:val="auto"/>
              <w:rPr>
                <w:rFonts w:ascii="黑体" w:hAnsi="黑体" w:eastAsia="黑体"/>
                <w:sz w:val="24"/>
                <w:szCs w:val="24"/>
              </w:rPr>
            </w:pPr>
            <w:r>
              <w:rPr>
                <w:rFonts w:hint="eastAsia" w:ascii="黑体" w:hAnsi="黑体" w:eastAsia="黑体"/>
                <w:kern w:val="0"/>
                <w:sz w:val="24"/>
                <w:szCs w:val="24"/>
              </w:rPr>
              <w:t>商业企业</w:t>
            </w:r>
          </w:p>
        </w:tc>
        <w:tc>
          <w:tcPr>
            <w:tcW w:w="593" w:type="dxa"/>
            <w:shd w:val="clear" w:color="auto" w:fill="auto"/>
            <w:tcMar>
              <w:left w:w="108" w:type="dxa"/>
              <w:right w:w="108" w:type="dxa"/>
            </w:tcMar>
            <w:vAlign w:val="center"/>
          </w:tcPr>
          <w:p w14:paraId="3760F497">
            <w:pPr>
              <w:keepNext w:val="0"/>
              <w:keepLines w:val="0"/>
              <w:pageBreakBefore w:val="0"/>
              <w:widowControl/>
              <w:kinsoku/>
              <w:wordWrap/>
              <w:overflowPunct/>
              <w:topLinePunct w:val="0"/>
              <w:autoSpaceDE/>
              <w:autoSpaceDN/>
              <w:bidi w:val="0"/>
              <w:adjustRightInd/>
              <w:snapToGrid/>
              <w:spacing w:line="260" w:lineRule="exact"/>
              <w:ind w:left="-107" w:leftChars="-51" w:right="-107" w:rightChars="-51"/>
              <w:jc w:val="center"/>
              <w:textAlignment w:val="auto"/>
              <w:rPr>
                <w:rFonts w:ascii="黑体" w:hAnsi="黑体" w:eastAsia="黑体"/>
                <w:sz w:val="24"/>
                <w:szCs w:val="24"/>
              </w:rPr>
            </w:pPr>
            <w:r>
              <w:rPr>
                <w:rFonts w:hint="eastAsia" w:ascii="黑体" w:hAnsi="黑体" w:eastAsia="黑体"/>
                <w:kern w:val="0"/>
                <w:sz w:val="24"/>
                <w:szCs w:val="24"/>
              </w:rPr>
              <w:t>科研机构</w:t>
            </w:r>
          </w:p>
        </w:tc>
        <w:tc>
          <w:tcPr>
            <w:tcW w:w="606" w:type="dxa"/>
            <w:shd w:val="clear" w:color="auto" w:fill="auto"/>
            <w:tcMar>
              <w:left w:w="108" w:type="dxa"/>
              <w:right w:w="108" w:type="dxa"/>
            </w:tcMar>
            <w:vAlign w:val="center"/>
          </w:tcPr>
          <w:p w14:paraId="5AC1BFB6">
            <w:pPr>
              <w:keepNext w:val="0"/>
              <w:keepLines w:val="0"/>
              <w:pageBreakBefore w:val="0"/>
              <w:widowControl/>
              <w:kinsoku/>
              <w:wordWrap/>
              <w:overflowPunct/>
              <w:topLinePunct w:val="0"/>
              <w:autoSpaceDE/>
              <w:autoSpaceDN/>
              <w:bidi w:val="0"/>
              <w:adjustRightInd/>
              <w:snapToGrid/>
              <w:spacing w:line="260" w:lineRule="exact"/>
              <w:ind w:left="-107" w:leftChars="-51" w:right="-107" w:rightChars="-51"/>
              <w:jc w:val="center"/>
              <w:textAlignment w:val="auto"/>
              <w:rPr>
                <w:rFonts w:ascii="黑体" w:hAnsi="黑体" w:eastAsia="黑体"/>
                <w:sz w:val="24"/>
                <w:szCs w:val="24"/>
              </w:rPr>
            </w:pPr>
            <w:r>
              <w:rPr>
                <w:rFonts w:hint="eastAsia" w:ascii="黑体" w:hAnsi="黑体" w:eastAsia="黑体"/>
                <w:kern w:val="0"/>
                <w:sz w:val="24"/>
                <w:szCs w:val="24"/>
              </w:rPr>
              <w:t>社会公益组织</w:t>
            </w:r>
          </w:p>
        </w:tc>
        <w:tc>
          <w:tcPr>
            <w:tcW w:w="708" w:type="dxa"/>
            <w:shd w:val="clear" w:color="auto" w:fill="auto"/>
            <w:tcMar>
              <w:left w:w="108" w:type="dxa"/>
              <w:right w:w="108" w:type="dxa"/>
            </w:tcMar>
            <w:vAlign w:val="center"/>
          </w:tcPr>
          <w:p w14:paraId="22B7E639">
            <w:pPr>
              <w:keepNext w:val="0"/>
              <w:keepLines w:val="0"/>
              <w:pageBreakBefore w:val="0"/>
              <w:widowControl/>
              <w:kinsoku/>
              <w:wordWrap/>
              <w:overflowPunct/>
              <w:topLinePunct w:val="0"/>
              <w:autoSpaceDE/>
              <w:autoSpaceDN/>
              <w:bidi w:val="0"/>
              <w:adjustRightInd/>
              <w:snapToGrid/>
              <w:spacing w:line="260" w:lineRule="exact"/>
              <w:ind w:left="-106" w:leftChars="-51" w:right="-107" w:rightChars="-51" w:hanging="1"/>
              <w:jc w:val="center"/>
              <w:textAlignment w:val="auto"/>
              <w:rPr>
                <w:rFonts w:ascii="黑体" w:hAnsi="黑体" w:eastAsia="黑体"/>
                <w:sz w:val="24"/>
                <w:szCs w:val="24"/>
              </w:rPr>
            </w:pPr>
            <w:r>
              <w:rPr>
                <w:rFonts w:hint="eastAsia" w:ascii="黑体" w:hAnsi="黑体" w:eastAsia="黑体"/>
                <w:kern w:val="0"/>
                <w:sz w:val="24"/>
                <w:szCs w:val="24"/>
              </w:rPr>
              <w:t>法律服务机构</w:t>
            </w:r>
          </w:p>
        </w:tc>
        <w:tc>
          <w:tcPr>
            <w:tcW w:w="567" w:type="dxa"/>
            <w:shd w:val="clear" w:color="auto" w:fill="auto"/>
            <w:tcMar>
              <w:left w:w="108" w:type="dxa"/>
              <w:right w:w="108" w:type="dxa"/>
            </w:tcMar>
            <w:vAlign w:val="center"/>
          </w:tcPr>
          <w:p w14:paraId="6427CBA3">
            <w:pPr>
              <w:keepNext w:val="0"/>
              <w:keepLines w:val="0"/>
              <w:pageBreakBefore w:val="0"/>
              <w:widowControl/>
              <w:kinsoku/>
              <w:wordWrap/>
              <w:overflowPunct/>
              <w:topLinePunct w:val="0"/>
              <w:autoSpaceDE/>
              <w:autoSpaceDN/>
              <w:bidi w:val="0"/>
              <w:adjustRightInd/>
              <w:snapToGrid/>
              <w:spacing w:line="260" w:lineRule="exact"/>
              <w:ind w:left="-63" w:leftChars="-30" w:right="-134" w:rightChars="-64"/>
              <w:jc w:val="center"/>
              <w:textAlignment w:val="auto"/>
              <w:rPr>
                <w:rFonts w:ascii="黑体" w:hAnsi="黑体" w:eastAsia="黑体"/>
                <w:sz w:val="24"/>
                <w:szCs w:val="24"/>
              </w:rPr>
            </w:pPr>
            <w:r>
              <w:rPr>
                <w:rFonts w:hint="eastAsia" w:ascii="黑体" w:hAnsi="黑体" w:eastAsia="黑体"/>
                <w:kern w:val="0"/>
                <w:sz w:val="24"/>
                <w:szCs w:val="24"/>
              </w:rPr>
              <w:t>其他</w:t>
            </w:r>
          </w:p>
        </w:tc>
        <w:tc>
          <w:tcPr>
            <w:tcW w:w="851" w:type="dxa"/>
            <w:vMerge w:val="continue"/>
            <w:shd w:val="clear" w:color="auto" w:fill="auto"/>
            <w:tcMar>
              <w:left w:w="108" w:type="dxa"/>
              <w:right w:w="108" w:type="dxa"/>
            </w:tcMar>
            <w:vAlign w:val="center"/>
          </w:tcPr>
          <w:p w14:paraId="3B077518">
            <w:pPr>
              <w:keepNext w:val="0"/>
              <w:keepLines w:val="0"/>
              <w:pageBreakBefore w:val="0"/>
              <w:kinsoku/>
              <w:wordWrap/>
              <w:overflowPunct/>
              <w:topLinePunct w:val="0"/>
              <w:autoSpaceDE/>
              <w:autoSpaceDN/>
              <w:bidi w:val="0"/>
              <w:adjustRightInd/>
              <w:snapToGrid/>
              <w:spacing w:line="260" w:lineRule="exact"/>
              <w:jc w:val="center"/>
              <w:textAlignment w:val="auto"/>
              <w:rPr>
                <w:rFonts w:ascii="仿宋_GB2312" w:hAnsi="Times New Roman" w:eastAsia="仿宋_GB2312"/>
                <w:sz w:val="24"/>
                <w:szCs w:val="24"/>
              </w:rPr>
            </w:pPr>
          </w:p>
        </w:tc>
      </w:tr>
      <w:tr w14:paraId="25491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407" w:type="dxa"/>
            <w:gridSpan w:val="3"/>
            <w:shd w:val="clear" w:color="auto" w:fill="auto"/>
            <w:tcMar>
              <w:left w:w="108" w:type="dxa"/>
              <w:right w:w="108" w:type="dxa"/>
            </w:tcMar>
            <w:vAlign w:val="center"/>
          </w:tcPr>
          <w:p w14:paraId="20E99E88">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sz w:val="24"/>
                <w:szCs w:val="24"/>
              </w:rPr>
            </w:pPr>
            <w:r>
              <w:rPr>
                <w:rFonts w:hint="eastAsia" w:ascii="黑体" w:hAnsi="黑体" w:eastAsia="黑体"/>
                <w:kern w:val="0"/>
                <w:sz w:val="24"/>
                <w:szCs w:val="24"/>
              </w:rPr>
              <w:t>一、本年新收政府信息公开申请数量</w:t>
            </w:r>
          </w:p>
        </w:tc>
        <w:tc>
          <w:tcPr>
            <w:tcW w:w="604" w:type="dxa"/>
            <w:shd w:val="clear" w:color="auto" w:fill="auto"/>
            <w:tcMar>
              <w:left w:w="108" w:type="dxa"/>
              <w:right w:w="108" w:type="dxa"/>
            </w:tcMar>
            <w:vAlign w:val="center"/>
          </w:tcPr>
          <w:p w14:paraId="2676274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c>
          <w:tcPr>
            <w:tcW w:w="577" w:type="dxa"/>
            <w:shd w:val="clear" w:color="auto" w:fill="auto"/>
            <w:tcMar>
              <w:left w:w="108" w:type="dxa"/>
              <w:right w:w="108" w:type="dxa"/>
            </w:tcMar>
            <w:vAlign w:val="center"/>
          </w:tcPr>
          <w:p w14:paraId="43B7509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5986549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67421A3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59F5B38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0B851B7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3D25823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14:paraId="6D085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407" w:type="dxa"/>
            <w:gridSpan w:val="3"/>
            <w:shd w:val="clear" w:color="auto" w:fill="auto"/>
            <w:tcMar>
              <w:left w:w="108" w:type="dxa"/>
              <w:right w:w="108" w:type="dxa"/>
            </w:tcMar>
            <w:vAlign w:val="center"/>
          </w:tcPr>
          <w:p w14:paraId="26C42F3E">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sz w:val="24"/>
                <w:szCs w:val="24"/>
              </w:rPr>
            </w:pPr>
            <w:r>
              <w:rPr>
                <w:rFonts w:hint="eastAsia" w:ascii="黑体" w:hAnsi="黑体" w:eastAsia="黑体"/>
                <w:kern w:val="0"/>
                <w:sz w:val="24"/>
                <w:szCs w:val="24"/>
              </w:rPr>
              <w:t>二、上年结转政府信息公开申请数量</w:t>
            </w:r>
          </w:p>
        </w:tc>
        <w:tc>
          <w:tcPr>
            <w:tcW w:w="604" w:type="dxa"/>
            <w:shd w:val="clear" w:color="auto" w:fill="auto"/>
            <w:tcMar>
              <w:left w:w="108" w:type="dxa"/>
              <w:right w:w="108" w:type="dxa"/>
            </w:tcMar>
            <w:vAlign w:val="center"/>
          </w:tcPr>
          <w:p w14:paraId="3E70B52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eastAsia="zh-CN"/>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3E3FEFA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7794453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53AEB84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60F454B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1C6065A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5852318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r>
      <w:tr w14:paraId="7A976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restart"/>
            <w:shd w:val="clear" w:color="auto" w:fill="auto"/>
            <w:tcMar>
              <w:left w:w="108" w:type="dxa"/>
              <w:right w:w="108" w:type="dxa"/>
            </w:tcMar>
            <w:vAlign w:val="center"/>
          </w:tcPr>
          <w:p w14:paraId="3BE977E3">
            <w:pPr>
              <w:keepNext w:val="0"/>
              <w:keepLines w:val="0"/>
              <w:pageBreakBefore w:val="0"/>
              <w:widowControl/>
              <w:kinsoku/>
              <w:wordWrap/>
              <w:overflowPunct/>
              <w:topLinePunct w:val="0"/>
              <w:autoSpaceDE/>
              <w:autoSpaceDN/>
              <w:bidi w:val="0"/>
              <w:adjustRightInd/>
              <w:snapToGrid/>
              <w:spacing w:after="180" w:line="260" w:lineRule="exact"/>
              <w:textAlignment w:val="auto"/>
              <w:rPr>
                <w:rFonts w:ascii="黑体" w:hAnsi="黑体" w:eastAsia="黑体"/>
                <w:sz w:val="24"/>
                <w:szCs w:val="24"/>
              </w:rPr>
            </w:pPr>
            <w:r>
              <w:rPr>
                <w:rFonts w:hint="eastAsia" w:ascii="黑体" w:hAnsi="黑体" w:eastAsia="黑体"/>
                <w:kern w:val="0"/>
                <w:sz w:val="24"/>
                <w:szCs w:val="24"/>
              </w:rPr>
              <w:t>三、本年度办理结果</w:t>
            </w:r>
          </w:p>
        </w:tc>
        <w:tc>
          <w:tcPr>
            <w:tcW w:w="4759" w:type="dxa"/>
            <w:gridSpan w:val="2"/>
            <w:shd w:val="clear" w:color="auto" w:fill="auto"/>
            <w:tcMar>
              <w:left w:w="108" w:type="dxa"/>
              <w:right w:w="108" w:type="dxa"/>
            </w:tcMar>
            <w:vAlign w:val="center"/>
          </w:tcPr>
          <w:p w14:paraId="1F06883B">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sz w:val="24"/>
                <w:szCs w:val="24"/>
              </w:rPr>
            </w:pPr>
            <w:r>
              <w:rPr>
                <w:rFonts w:hint="eastAsia" w:ascii="黑体" w:hAnsi="黑体" w:eastAsia="黑体"/>
                <w:kern w:val="0"/>
                <w:sz w:val="24"/>
                <w:szCs w:val="24"/>
              </w:rPr>
              <w:t>（一）予以公开</w:t>
            </w:r>
          </w:p>
        </w:tc>
        <w:tc>
          <w:tcPr>
            <w:tcW w:w="604" w:type="dxa"/>
            <w:shd w:val="clear" w:color="auto" w:fill="auto"/>
            <w:tcMar>
              <w:left w:w="108" w:type="dxa"/>
              <w:right w:w="108" w:type="dxa"/>
            </w:tcMar>
            <w:vAlign w:val="center"/>
          </w:tcPr>
          <w:p w14:paraId="40D8B90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77" w:type="dxa"/>
            <w:shd w:val="clear" w:color="auto" w:fill="auto"/>
            <w:tcMar>
              <w:left w:w="108" w:type="dxa"/>
              <w:right w:w="108" w:type="dxa"/>
            </w:tcMar>
            <w:vAlign w:val="center"/>
          </w:tcPr>
          <w:p w14:paraId="4BD79B7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1CE550D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06B0177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73B4AC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68B9F2D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13B23FE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r>
      <w:tr w14:paraId="58F7C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5FD0F0FB">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4759" w:type="dxa"/>
            <w:gridSpan w:val="2"/>
            <w:shd w:val="clear" w:color="auto" w:fill="auto"/>
            <w:tcMar>
              <w:left w:w="108" w:type="dxa"/>
              <w:right w:w="108" w:type="dxa"/>
            </w:tcMar>
            <w:vAlign w:val="center"/>
          </w:tcPr>
          <w:p w14:paraId="34E2E32F">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sz w:val="24"/>
                <w:szCs w:val="24"/>
              </w:rPr>
            </w:pPr>
            <w:r>
              <w:rPr>
                <w:rFonts w:hint="eastAsia" w:ascii="黑体" w:hAnsi="黑体" w:eastAsia="黑体"/>
                <w:kern w:val="0"/>
                <w:sz w:val="24"/>
                <w:szCs w:val="24"/>
              </w:rPr>
              <w:t>（二）部分公开（区分处理的，只计这一情形，不计其他情形）</w:t>
            </w:r>
          </w:p>
        </w:tc>
        <w:tc>
          <w:tcPr>
            <w:tcW w:w="604" w:type="dxa"/>
            <w:shd w:val="clear" w:color="auto" w:fill="auto"/>
            <w:tcMar>
              <w:left w:w="108" w:type="dxa"/>
              <w:right w:w="108" w:type="dxa"/>
            </w:tcMar>
            <w:vAlign w:val="center"/>
          </w:tcPr>
          <w:p w14:paraId="2D91E82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4736B23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5A037DC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7509796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0DA59C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71160BD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511F650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r>
      <w:tr w14:paraId="4110B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648" w:type="dxa"/>
            <w:vMerge w:val="continue"/>
            <w:shd w:val="clear" w:color="auto" w:fill="auto"/>
            <w:tcMar>
              <w:left w:w="108" w:type="dxa"/>
              <w:right w:w="108" w:type="dxa"/>
            </w:tcMar>
            <w:vAlign w:val="center"/>
          </w:tcPr>
          <w:p w14:paraId="2DCF6F88">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restart"/>
            <w:shd w:val="clear" w:color="auto" w:fill="auto"/>
            <w:tcMar>
              <w:left w:w="108" w:type="dxa"/>
              <w:right w:w="108" w:type="dxa"/>
            </w:tcMar>
            <w:vAlign w:val="center"/>
          </w:tcPr>
          <w:p w14:paraId="66A982E9">
            <w:pPr>
              <w:keepNext w:val="0"/>
              <w:keepLines w:val="0"/>
              <w:pageBreakBefore w:val="0"/>
              <w:widowControl/>
              <w:kinsoku/>
              <w:wordWrap/>
              <w:overflowPunct/>
              <w:topLinePunct w:val="0"/>
              <w:autoSpaceDE/>
              <w:autoSpaceDN/>
              <w:bidi w:val="0"/>
              <w:adjustRightInd/>
              <w:snapToGrid/>
              <w:spacing w:line="260" w:lineRule="exact"/>
              <w:ind w:left="-107" w:leftChars="-51"/>
              <w:textAlignment w:val="auto"/>
              <w:rPr>
                <w:rFonts w:ascii="黑体" w:hAnsi="黑体" w:eastAsia="黑体"/>
                <w:sz w:val="24"/>
                <w:szCs w:val="24"/>
              </w:rPr>
            </w:pPr>
            <w:r>
              <w:rPr>
                <w:rFonts w:hint="eastAsia" w:ascii="黑体" w:hAnsi="黑体" w:eastAsia="黑体"/>
                <w:kern w:val="0"/>
                <w:sz w:val="24"/>
                <w:szCs w:val="24"/>
              </w:rPr>
              <w:t>（三）不予公开</w:t>
            </w:r>
          </w:p>
        </w:tc>
        <w:tc>
          <w:tcPr>
            <w:tcW w:w="3707" w:type="dxa"/>
            <w:shd w:val="clear" w:color="auto" w:fill="auto"/>
            <w:tcMar>
              <w:left w:w="108" w:type="dxa"/>
              <w:right w:w="108" w:type="dxa"/>
            </w:tcMar>
            <w:vAlign w:val="center"/>
          </w:tcPr>
          <w:p w14:paraId="5002ED5E">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1.属于国家秘密</w:t>
            </w:r>
          </w:p>
        </w:tc>
        <w:tc>
          <w:tcPr>
            <w:tcW w:w="604" w:type="dxa"/>
            <w:shd w:val="clear" w:color="auto" w:fill="auto"/>
            <w:tcMar>
              <w:left w:w="108" w:type="dxa"/>
              <w:right w:w="108" w:type="dxa"/>
            </w:tcMar>
            <w:vAlign w:val="center"/>
          </w:tcPr>
          <w:p w14:paraId="4FC233C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3ED4AB2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29866D0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2D5F979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53869B8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289BB6F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0D84EFB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7CFFD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5481311B">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0E65089D">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1ED526D4">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2.其他法律行政法规禁止公开</w:t>
            </w:r>
          </w:p>
        </w:tc>
        <w:tc>
          <w:tcPr>
            <w:tcW w:w="604" w:type="dxa"/>
            <w:shd w:val="clear" w:color="auto" w:fill="auto"/>
            <w:tcMar>
              <w:left w:w="108" w:type="dxa"/>
              <w:right w:w="108" w:type="dxa"/>
            </w:tcMar>
            <w:vAlign w:val="center"/>
          </w:tcPr>
          <w:p w14:paraId="540F630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5FDF0A0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22009D9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586B9D7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20809A1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6AD87B0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193DE18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73F5D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0D1FB625">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21F4409E">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263C6DA6">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3.危及“三安全一稳定”</w:t>
            </w:r>
          </w:p>
        </w:tc>
        <w:tc>
          <w:tcPr>
            <w:tcW w:w="604" w:type="dxa"/>
            <w:shd w:val="clear" w:color="auto" w:fill="auto"/>
            <w:tcMar>
              <w:left w:w="108" w:type="dxa"/>
              <w:right w:w="108" w:type="dxa"/>
            </w:tcMar>
            <w:vAlign w:val="center"/>
          </w:tcPr>
          <w:p w14:paraId="059CCD1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5009E32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67ABE9D2">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189B081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7E73785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6626420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64C7690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0C55B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4210164B">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68B1C2CC">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169CA5E3">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4.保护第三方合法权益</w:t>
            </w:r>
          </w:p>
        </w:tc>
        <w:tc>
          <w:tcPr>
            <w:tcW w:w="604" w:type="dxa"/>
            <w:shd w:val="clear" w:color="auto" w:fill="auto"/>
            <w:tcMar>
              <w:left w:w="108" w:type="dxa"/>
              <w:right w:w="108" w:type="dxa"/>
            </w:tcMar>
            <w:vAlign w:val="center"/>
          </w:tcPr>
          <w:p w14:paraId="5938416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630A209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0148336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7B3FEE9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517D94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379A8AD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285BAD0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6789B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2D16141F">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2ED70397">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4A57C5C7">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5.属于三类内部事务信息</w:t>
            </w:r>
          </w:p>
        </w:tc>
        <w:tc>
          <w:tcPr>
            <w:tcW w:w="604" w:type="dxa"/>
            <w:shd w:val="clear" w:color="auto" w:fill="auto"/>
            <w:tcMar>
              <w:left w:w="108" w:type="dxa"/>
              <w:right w:w="108" w:type="dxa"/>
            </w:tcMar>
            <w:vAlign w:val="center"/>
          </w:tcPr>
          <w:p w14:paraId="128D2A9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43F0136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42F0995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255BA97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1E382232">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0CC614D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5D315A0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4129D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0DBE0883">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740E8184">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380CFDA6">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6.属于四类过程性信息</w:t>
            </w:r>
          </w:p>
        </w:tc>
        <w:tc>
          <w:tcPr>
            <w:tcW w:w="604" w:type="dxa"/>
            <w:shd w:val="clear" w:color="auto" w:fill="auto"/>
            <w:tcMar>
              <w:left w:w="108" w:type="dxa"/>
              <w:right w:w="108" w:type="dxa"/>
            </w:tcMar>
            <w:vAlign w:val="center"/>
          </w:tcPr>
          <w:p w14:paraId="239A874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218C96D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1D2774A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0291A7E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012B954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03C018A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3C98A38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1B218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5CAADE52">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283050E1">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377CF3E6">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7.属于行政执法案卷</w:t>
            </w:r>
          </w:p>
        </w:tc>
        <w:tc>
          <w:tcPr>
            <w:tcW w:w="604" w:type="dxa"/>
            <w:shd w:val="clear" w:color="auto" w:fill="auto"/>
            <w:tcMar>
              <w:left w:w="108" w:type="dxa"/>
              <w:right w:w="108" w:type="dxa"/>
            </w:tcMar>
            <w:vAlign w:val="center"/>
          </w:tcPr>
          <w:p w14:paraId="4CB41BB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3A50FDF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2B1AD04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46317DE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1A0F400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25AC76A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175BF32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47A38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433C7AB3">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13918638">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79D4C923">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8.属于行政查询事项</w:t>
            </w:r>
          </w:p>
        </w:tc>
        <w:tc>
          <w:tcPr>
            <w:tcW w:w="604" w:type="dxa"/>
            <w:shd w:val="clear" w:color="auto" w:fill="auto"/>
            <w:tcMar>
              <w:left w:w="108" w:type="dxa"/>
              <w:right w:w="108" w:type="dxa"/>
            </w:tcMar>
            <w:vAlign w:val="center"/>
          </w:tcPr>
          <w:p w14:paraId="7CB8D13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default" w:ascii="仿宋_GB2312" w:hAnsi="Times New Roman" w:eastAsia="仿宋_GB2312"/>
                <w:sz w:val="24"/>
                <w:szCs w:val="24"/>
                <w:lang w:val="en-US"/>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5A56B87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0638426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01760C1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390BC3C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3E8B365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1472801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3414D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23C9FF78">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restart"/>
            <w:shd w:val="clear" w:color="auto" w:fill="auto"/>
            <w:tcMar>
              <w:left w:w="108" w:type="dxa"/>
              <w:right w:w="108" w:type="dxa"/>
            </w:tcMar>
            <w:vAlign w:val="center"/>
          </w:tcPr>
          <w:p w14:paraId="29C9ED99">
            <w:pPr>
              <w:keepNext w:val="0"/>
              <w:keepLines w:val="0"/>
              <w:pageBreakBefore w:val="0"/>
              <w:widowControl/>
              <w:kinsoku/>
              <w:wordWrap/>
              <w:overflowPunct/>
              <w:topLinePunct w:val="0"/>
              <w:autoSpaceDE/>
              <w:autoSpaceDN/>
              <w:bidi w:val="0"/>
              <w:adjustRightInd/>
              <w:snapToGrid/>
              <w:spacing w:line="260" w:lineRule="exact"/>
              <w:ind w:left="-107" w:leftChars="-51"/>
              <w:textAlignment w:val="auto"/>
              <w:rPr>
                <w:rFonts w:ascii="黑体" w:hAnsi="黑体" w:eastAsia="黑体"/>
                <w:sz w:val="24"/>
                <w:szCs w:val="24"/>
              </w:rPr>
            </w:pPr>
            <w:r>
              <w:rPr>
                <w:rFonts w:hint="eastAsia" w:ascii="黑体" w:hAnsi="黑体" w:eastAsia="黑体"/>
                <w:kern w:val="0"/>
                <w:sz w:val="24"/>
                <w:szCs w:val="24"/>
              </w:rPr>
              <w:t>（四）无法提供</w:t>
            </w:r>
          </w:p>
        </w:tc>
        <w:tc>
          <w:tcPr>
            <w:tcW w:w="3707" w:type="dxa"/>
            <w:shd w:val="clear" w:color="auto" w:fill="auto"/>
            <w:tcMar>
              <w:left w:w="108" w:type="dxa"/>
              <w:right w:w="108" w:type="dxa"/>
            </w:tcMar>
            <w:vAlign w:val="center"/>
          </w:tcPr>
          <w:p w14:paraId="0BE4840C">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1.本机关不掌握相关政府信息</w:t>
            </w:r>
          </w:p>
        </w:tc>
        <w:tc>
          <w:tcPr>
            <w:tcW w:w="604" w:type="dxa"/>
            <w:shd w:val="clear" w:color="auto" w:fill="auto"/>
            <w:tcMar>
              <w:left w:w="108" w:type="dxa"/>
              <w:right w:w="108" w:type="dxa"/>
            </w:tcMar>
            <w:vAlign w:val="center"/>
          </w:tcPr>
          <w:p w14:paraId="4464EB3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c>
          <w:tcPr>
            <w:tcW w:w="577" w:type="dxa"/>
            <w:shd w:val="clear" w:color="auto" w:fill="auto"/>
            <w:tcMar>
              <w:left w:w="108" w:type="dxa"/>
              <w:right w:w="108" w:type="dxa"/>
            </w:tcMar>
            <w:vAlign w:val="center"/>
          </w:tcPr>
          <w:p w14:paraId="68B2C77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636EBAF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582E39F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30F3A02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2F28715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57A2EA3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14:paraId="47B72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4F6DB2EA">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3AD6D5EE">
            <w:pPr>
              <w:keepNext w:val="0"/>
              <w:keepLines w:val="0"/>
              <w:pageBreakBefore w:val="0"/>
              <w:kinsoku/>
              <w:wordWrap/>
              <w:overflowPunct/>
              <w:topLinePunct w:val="0"/>
              <w:autoSpaceDE/>
              <w:autoSpaceDN/>
              <w:bidi w:val="0"/>
              <w:adjustRightInd/>
              <w:snapToGrid/>
              <w:spacing w:line="260" w:lineRule="exact"/>
              <w:ind w:left="-107" w:leftChars="-51"/>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30ACA36C">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2.没有现成信息需要另行制作</w:t>
            </w:r>
          </w:p>
        </w:tc>
        <w:tc>
          <w:tcPr>
            <w:tcW w:w="604" w:type="dxa"/>
            <w:shd w:val="clear" w:color="auto" w:fill="auto"/>
            <w:tcMar>
              <w:left w:w="108" w:type="dxa"/>
              <w:right w:w="108" w:type="dxa"/>
            </w:tcMar>
            <w:vAlign w:val="center"/>
          </w:tcPr>
          <w:p w14:paraId="72B6AA7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2B90452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0CF6D00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6EBB1C2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7849AF0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7CB38F5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5A5CE6D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100B3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54037429">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56A9FFB7">
            <w:pPr>
              <w:keepNext w:val="0"/>
              <w:keepLines w:val="0"/>
              <w:pageBreakBefore w:val="0"/>
              <w:kinsoku/>
              <w:wordWrap/>
              <w:overflowPunct/>
              <w:topLinePunct w:val="0"/>
              <w:autoSpaceDE/>
              <w:autoSpaceDN/>
              <w:bidi w:val="0"/>
              <w:adjustRightInd/>
              <w:snapToGrid/>
              <w:spacing w:line="260" w:lineRule="exact"/>
              <w:ind w:left="-107" w:leftChars="-51"/>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2D9C0835">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3.补正后申请内容仍不明确</w:t>
            </w:r>
          </w:p>
        </w:tc>
        <w:tc>
          <w:tcPr>
            <w:tcW w:w="604" w:type="dxa"/>
            <w:shd w:val="clear" w:color="auto" w:fill="auto"/>
            <w:tcMar>
              <w:left w:w="108" w:type="dxa"/>
              <w:right w:w="108" w:type="dxa"/>
            </w:tcMar>
            <w:vAlign w:val="center"/>
          </w:tcPr>
          <w:p w14:paraId="5265F3A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33A01D5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7889CA5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4E62694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8BEDD8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3A97ABF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0F70804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5C164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635DC8F2">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restart"/>
            <w:shd w:val="clear" w:color="auto" w:fill="auto"/>
            <w:tcMar>
              <w:left w:w="108" w:type="dxa"/>
              <w:right w:w="108" w:type="dxa"/>
            </w:tcMar>
            <w:vAlign w:val="center"/>
          </w:tcPr>
          <w:p w14:paraId="42F14744">
            <w:pPr>
              <w:keepNext w:val="0"/>
              <w:keepLines w:val="0"/>
              <w:pageBreakBefore w:val="0"/>
              <w:widowControl/>
              <w:kinsoku/>
              <w:wordWrap/>
              <w:overflowPunct/>
              <w:topLinePunct w:val="0"/>
              <w:autoSpaceDE/>
              <w:autoSpaceDN/>
              <w:bidi w:val="0"/>
              <w:adjustRightInd/>
              <w:snapToGrid/>
              <w:spacing w:line="260" w:lineRule="exact"/>
              <w:ind w:left="-107" w:leftChars="-51"/>
              <w:textAlignment w:val="auto"/>
              <w:rPr>
                <w:rFonts w:ascii="黑体" w:hAnsi="黑体" w:eastAsia="黑体"/>
                <w:sz w:val="24"/>
                <w:szCs w:val="24"/>
              </w:rPr>
            </w:pPr>
            <w:r>
              <w:rPr>
                <w:rFonts w:hint="eastAsia" w:ascii="黑体" w:hAnsi="黑体" w:eastAsia="黑体"/>
                <w:kern w:val="0"/>
                <w:sz w:val="24"/>
                <w:szCs w:val="24"/>
              </w:rPr>
              <w:t>（五）不予处理</w:t>
            </w:r>
          </w:p>
        </w:tc>
        <w:tc>
          <w:tcPr>
            <w:tcW w:w="3707" w:type="dxa"/>
            <w:shd w:val="clear" w:color="auto" w:fill="auto"/>
            <w:tcMar>
              <w:left w:w="108" w:type="dxa"/>
              <w:right w:w="108" w:type="dxa"/>
            </w:tcMar>
            <w:vAlign w:val="center"/>
          </w:tcPr>
          <w:p w14:paraId="18E1564A">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1.信访举报投诉类申请</w:t>
            </w:r>
          </w:p>
        </w:tc>
        <w:tc>
          <w:tcPr>
            <w:tcW w:w="604" w:type="dxa"/>
            <w:shd w:val="clear" w:color="auto" w:fill="auto"/>
            <w:tcMar>
              <w:left w:w="108" w:type="dxa"/>
              <w:right w:w="108" w:type="dxa"/>
            </w:tcMar>
            <w:vAlign w:val="center"/>
          </w:tcPr>
          <w:p w14:paraId="13D307B2">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0C802C9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3F5873E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231A794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168994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40A8260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79F08DD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5DF2D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0E24DF2A">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32CA626F">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5C727666">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黑体" w:eastAsia="仿宋_GB2312"/>
                <w:kern w:val="0"/>
                <w:sz w:val="24"/>
                <w:szCs w:val="24"/>
              </w:rPr>
              <w:t>2.重复申请</w:t>
            </w:r>
          </w:p>
        </w:tc>
        <w:tc>
          <w:tcPr>
            <w:tcW w:w="604" w:type="dxa"/>
            <w:shd w:val="clear" w:color="auto" w:fill="auto"/>
            <w:tcMar>
              <w:left w:w="108" w:type="dxa"/>
              <w:right w:w="108" w:type="dxa"/>
            </w:tcMar>
            <w:vAlign w:val="center"/>
          </w:tcPr>
          <w:p w14:paraId="387451A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28D1B032">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57934F2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545E4A5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1B25607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6CD549D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713E105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569FF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67C908B1">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08ACA05F">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083F7940">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sz w:val="24"/>
                <w:szCs w:val="24"/>
              </w:rPr>
            </w:pPr>
            <w:r>
              <w:rPr>
                <w:rFonts w:hint="eastAsia" w:ascii="仿宋_GB2312" w:hAnsi="黑体" w:eastAsia="仿宋_GB2312"/>
                <w:kern w:val="0"/>
                <w:sz w:val="24"/>
                <w:szCs w:val="24"/>
              </w:rPr>
              <w:t>3.要求提供公开出版物</w:t>
            </w:r>
          </w:p>
        </w:tc>
        <w:tc>
          <w:tcPr>
            <w:tcW w:w="604" w:type="dxa"/>
            <w:shd w:val="clear" w:color="auto" w:fill="auto"/>
            <w:tcMar>
              <w:left w:w="108" w:type="dxa"/>
              <w:right w:w="108" w:type="dxa"/>
            </w:tcMar>
            <w:vAlign w:val="center"/>
          </w:tcPr>
          <w:p w14:paraId="6FE67A5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4CD65D6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53DD701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3E4C361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367CB4A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36AB8EE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4A91425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121C5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7016AE0D">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2F4837F5">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6C5955A8">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sz w:val="24"/>
                <w:szCs w:val="24"/>
              </w:rPr>
            </w:pPr>
            <w:r>
              <w:rPr>
                <w:rFonts w:hint="eastAsia" w:ascii="仿宋_GB2312" w:hAnsi="黑体" w:eastAsia="仿宋_GB2312"/>
                <w:kern w:val="0"/>
                <w:sz w:val="24"/>
                <w:szCs w:val="24"/>
              </w:rPr>
              <w:t>4.无正当理由大量反复申请</w:t>
            </w:r>
          </w:p>
        </w:tc>
        <w:tc>
          <w:tcPr>
            <w:tcW w:w="604" w:type="dxa"/>
            <w:shd w:val="clear" w:color="auto" w:fill="auto"/>
            <w:tcMar>
              <w:left w:w="108" w:type="dxa"/>
              <w:right w:w="108" w:type="dxa"/>
            </w:tcMar>
            <w:vAlign w:val="center"/>
          </w:tcPr>
          <w:p w14:paraId="5AEC9B4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2F8783B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3802A25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7A26A05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3D9E0A9F">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2A25815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6B39CE42">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45D35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383BF816">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39FAC3FA">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3707" w:type="dxa"/>
            <w:shd w:val="clear" w:color="auto" w:fill="auto"/>
            <w:tcMar>
              <w:left w:w="108" w:type="dxa"/>
              <w:right w:w="108" w:type="dxa"/>
            </w:tcMar>
            <w:vAlign w:val="center"/>
          </w:tcPr>
          <w:p w14:paraId="2BC7D920">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sz w:val="24"/>
                <w:szCs w:val="24"/>
              </w:rPr>
            </w:pPr>
            <w:r>
              <w:rPr>
                <w:rFonts w:hint="eastAsia" w:ascii="仿宋_GB2312" w:hAnsi="黑体" w:eastAsia="仿宋_GB2312"/>
                <w:kern w:val="0"/>
                <w:sz w:val="24"/>
                <w:szCs w:val="24"/>
              </w:rPr>
              <w:t>5.要求行政机关确认或重新出具已获取信息</w:t>
            </w:r>
          </w:p>
        </w:tc>
        <w:tc>
          <w:tcPr>
            <w:tcW w:w="604" w:type="dxa"/>
            <w:shd w:val="clear" w:color="auto" w:fill="auto"/>
            <w:tcMar>
              <w:left w:w="108" w:type="dxa"/>
              <w:right w:w="108" w:type="dxa"/>
            </w:tcMar>
            <w:vAlign w:val="center"/>
          </w:tcPr>
          <w:p w14:paraId="557B1A7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2B4B932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1E34E9E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5100761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9903D2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21A9FFDB">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7533220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2B836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5E88D44A">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restart"/>
            <w:shd w:val="clear" w:color="auto" w:fill="auto"/>
            <w:tcMar>
              <w:left w:w="108" w:type="dxa"/>
              <w:right w:w="108" w:type="dxa"/>
            </w:tcMar>
            <w:vAlign w:val="center"/>
          </w:tcPr>
          <w:p w14:paraId="52C9D4C2">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kern w:val="0"/>
                <w:sz w:val="24"/>
                <w:szCs w:val="24"/>
              </w:rPr>
            </w:pPr>
            <w:r>
              <w:rPr>
                <w:rFonts w:hint="eastAsia" w:ascii="黑体" w:hAnsi="黑体" w:eastAsia="黑体"/>
                <w:kern w:val="0"/>
                <w:sz w:val="24"/>
                <w:szCs w:val="24"/>
              </w:rPr>
              <w:t>（六）其他处理</w:t>
            </w:r>
          </w:p>
        </w:tc>
        <w:tc>
          <w:tcPr>
            <w:tcW w:w="3707" w:type="dxa"/>
            <w:shd w:val="clear" w:color="auto" w:fill="auto"/>
            <w:vAlign w:val="center"/>
          </w:tcPr>
          <w:p w14:paraId="59877D6E">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楷体" w:eastAsia="仿宋_GB2312"/>
                <w:sz w:val="24"/>
                <w:szCs w:val="24"/>
              </w:rPr>
            </w:pPr>
            <w:r>
              <w:rPr>
                <w:rFonts w:hint="eastAsia" w:ascii="仿宋_GB2312" w:hAnsi="楷体" w:eastAsia="仿宋_GB2312"/>
                <w:sz w:val="24"/>
                <w:szCs w:val="24"/>
              </w:rPr>
              <w:t>1.申请人无正当理由逾期不补正、行政机关不再处理其政府信息公开申请</w:t>
            </w:r>
          </w:p>
        </w:tc>
        <w:tc>
          <w:tcPr>
            <w:tcW w:w="604" w:type="dxa"/>
            <w:shd w:val="clear" w:color="auto" w:fill="auto"/>
            <w:tcMar>
              <w:left w:w="108" w:type="dxa"/>
              <w:right w:w="108" w:type="dxa"/>
            </w:tcMar>
            <w:vAlign w:val="center"/>
          </w:tcPr>
          <w:p w14:paraId="64438A8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77AC9F18">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127AAAB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4C4E110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28F9357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2EBC9C6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051ADD2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7E669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2A111563">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2CEE6EED">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kern w:val="0"/>
                <w:sz w:val="24"/>
                <w:szCs w:val="24"/>
              </w:rPr>
            </w:pPr>
          </w:p>
        </w:tc>
        <w:tc>
          <w:tcPr>
            <w:tcW w:w="3707" w:type="dxa"/>
            <w:shd w:val="clear" w:color="auto" w:fill="auto"/>
            <w:vAlign w:val="center"/>
          </w:tcPr>
          <w:p w14:paraId="5CCEC49B">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楷体" w:eastAsia="仿宋_GB2312"/>
                <w:sz w:val="24"/>
                <w:szCs w:val="24"/>
              </w:rPr>
              <w:t>2.申请人逾期未按收费通知要求缴纳费用、行政机关不再处理其政府信息公开申请</w:t>
            </w:r>
          </w:p>
        </w:tc>
        <w:tc>
          <w:tcPr>
            <w:tcW w:w="604" w:type="dxa"/>
            <w:shd w:val="clear" w:color="auto" w:fill="auto"/>
            <w:tcMar>
              <w:left w:w="108" w:type="dxa"/>
              <w:right w:w="108" w:type="dxa"/>
            </w:tcMar>
            <w:vAlign w:val="center"/>
          </w:tcPr>
          <w:p w14:paraId="4DBA94B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648B7C64">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5F809EB3">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3E99D53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7958F69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5388409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39FA04E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6A00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5A1A63A5">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1052" w:type="dxa"/>
            <w:vMerge w:val="continue"/>
            <w:shd w:val="clear" w:color="auto" w:fill="auto"/>
            <w:tcMar>
              <w:left w:w="108" w:type="dxa"/>
              <w:right w:w="108" w:type="dxa"/>
            </w:tcMar>
            <w:vAlign w:val="center"/>
          </w:tcPr>
          <w:p w14:paraId="705E09A3">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kern w:val="0"/>
                <w:sz w:val="24"/>
                <w:szCs w:val="24"/>
              </w:rPr>
            </w:pPr>
          </w:p>
        </w:tc>
        <w:tc>
          <w:tcPr>
            <w:tcW w:w="3707" w:type="dxa"/>
            <w:shd w:val="clear" w:color="auto" w:fill="auto"/>
            <w:vAlign w:val="center"/>
          </w:tcPr>
          <w:p w14:paraId="3B8D6396">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黑体" w:eastAsia="仿宋_GB2312"/>
                <w:kern w:val="0"/>
                <w:sz w:val="24"/>
                <w:szCs w:val="24"/>
              </w:rPr>
            </w:pPr>
            <w:r>
              <w:rPr>
                <w:rFonts w:hint="eastAsia" w:ascii="仿宋_GB2312" w:hAnsi="楷体" w:eastAsia="仿宋_GB2312"/>
                <w:sz w:val="24"/>
                <w:szCs w:val="24"/>
              </w:rPr>
              <w:t>3.其他</w:t>
            </w:r>
          </w:p>
        </w:tc>
        <w:tc>
          <w:tcPr>
            <w:tcW w:w="604" w:type="dxa"/>
            <w:shd w:val="clear" w:color="auto" w:fill="auto"/>
            <w:tcMar>
              <w:left w:w="108" w:type="dxa"/>
              <w:right w:w="108" w:type="dxa"/>
            </w:tcMar>
            <w:vAlign w:val="center"/>
          </w:tcPr>
          <w:p w14:paraId="586CD6A7">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4160982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7F1D1B1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3AEB4FD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4E195D9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4230FD6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598ED24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r>
      <w:tr w14:paraId="5E3FF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648" w:type="dxa"/>
            <w:vMerge w:val="continue"/>
            <w:shd w:val="clear" w:color="auto" w:fill="auto"/>
            <w:tcMar>
              <w:left w:w="108" w:type="dxa"/>
              <w:right w:w="108" w:type="dxa"/>
            </w:tcMar>
            <w:vAlign w:val="center"/>
          </w:tcPr>
          <w:p w14:paraId="1DA33465">
            <w:pPr>
              <w:keepNext w:val="0"/>
              <w:keepLines w:val="0"/>
              <w:pageBreakBefore w:val="0"/>
              <w:kinsoku/>
              <w:wordWrap/>
              <w:overflowPunct/>
              <w:topLinePunct w:val="0"/>
              <w:autoSpaceDE/>
              <w:autoSpaceDN/>
              <w:bidi w:val="0"/>
              <w:adjustRightInd/>
              <w:snapToGrid/>
              <w:spacing w:line="260" w:lineRule="exact"/>
              <w:textAlignment w:val="auto"/>
              <w:rPr>
                <w:rFonts w:ascii="黑体" w:hAnsi="黑体" w:eastAsia="黑体"/>
                <w:sz w:val="24"/>
                <w:szCs w:val="24"/>
              </w:rPr>
            </w:pPr>
          </w:p>
        </w:tc>
        <w:tc>
          <w:tcPr>
            <w:tcW w:w="4759" w:type="dxa"/>
            <w:gridSpan w:val="2"/>
            <w:shd w:val="clear" w:color="auto" w:fill="auto"/>
            <w:tcMar>
              <w:left w:w="108" w:type="dxa"/>
              <w:right w:w="108" w:type="dxa"/>
            </w:tcMar>
            <w:vAlign w:val="center"/>
          </w:tcPr>
          <w:p w14:paraId="74CABC2A">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kern w:val="0"/>
                <w:sz w:val="24"/>
                <w:szCs w:val="24"/>
              </w:rPr>
            </w:pPr>
            <w:r>
              <w:rPr>
                <w:rFonts w:hint="eastAsia" w:ascii="黑体" w:hAnsi="黑体" w:eastAsia="黑体"/>
                <w:kern w:val="0"/>
                <w:sz w:val="24"/>
                <w:szCs w:val="24"/>
              </w:rPr>
              <w:t>（七）总计</w:t>
            </w:r>
          </w:p>
        </w:tc>
        <w:tc>
          <w:tcPr>
            <w:tcW w:w="604" w:type="dxa"/>
            <w:shd w:val="clear" w:color="auto" w:fill="auto"/>
            <w:tcMar>
              <w:left w:w="108" w:type="dxa"/>
              <w:right w:w="108" w:type="dxa"/>
            </w:tcMar>
            <w:vAlign w:val="center"/>
          </w:tcPr>
          <w:p w14:paraId="660A330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c>
          <w:tcPr>
            <w:tcW w:w="577" w:type="dxa"/>
            <w:shd w:val="clear" w:color="auto" w:fill="auto"/>
            <w:tcMar>
              <w:left w:w="108" w:type="dxa"/>
              <w:right w:w="108" w:type="dxa"/>
            </w:tcMar>
            <w:vAlign w:val="center"/>
          </w:tcPr>
          <w:p w14:paraId="336C434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7820968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49FB7AE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7A05B5E6">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0DB30230">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ascii="仿宋_GB2312" w:hAnsi="Times New Roman" w:eastAsia="仿宋_GB2312"/>
                <w:sz w:val="24"/>
                <w:szCs w:val="24"/>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142FD35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14:paraId="186D2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407" w:type="dxa"/>
            <w:gridSpan w:val="3"/>
            <w:shd w:val="clear" w:color="auto" w:fill="auto"/>
            <w:tcMar>
              <w:left w:w="108" w:type="dxa"/>
              <w:right w:w="108" w:type="dxa"/>
            </w:tcMar>
            <w:vAlign w:val="center"/>
          </w:tcPr>
          <w:p w14:paraId="36247A6F">
            <w:pPr>
              <w:keepNext w:val="0"/>
              <w:keepLines w:val="0"/>
              <w:pageBreakBefore w:val="0"/>
              <w:widowControl/>
              <w:kinsoku/>
              <w:wordWrap/>
              <w:overflowPunct/>
              <w:topLinePunct w:val="0"/>
              <w:autoSpaceDE/>
              <w:autoSpaceDN/>
              <w:bidi w:val="0"/>
              <w:adjustRightInd/>
              <w:snapToGrid/>
              <w:spacing w:line="260" w:lineRule="exact"/>
              <w:textAlignment w:val="auto"/>
              <w:rPr>
                <w:rFonts w:ascii="黑体" w:hAnsi="黑体" w:eastAsia="黑体"/>
                <w:kern w:val="0"/>
                <w:sz w:val="24"/>
                <w:szCs w:val="24"/>
              </w:rPr>
            </w:pPr>
            <w:r>
              <w:rPr>
                <w:rFonts w:hint="eastAsia" w:ascii="黑体" w:hAnsi="黑体" w:eastAsia="黑体"/>
                <w:kern w:val="0"/>
                <w:sz w:val="24"/>
                <w:szCs w:val="24"/>
              </w:rPr>
              <w:t>四、结转下年度继续办理</w:t>
            </w:r>
          </w:p>
        </w:tc>
        <w:tc>
          <w:tcPr>
            <w:tcW w:w="604" w:type="dxa"/>
            <w:shd w:val="clear" w:color="auto" w:fill="auto"/>
            <w:tcMar>
              <w:left w:w="108" w:type="dxa"/>
              <w:right w:w="108" w:type="dxa"/>
            </w:tcMar>
            <w:vAlign w:val="center"/>
          </w:tcPr>
          <w:p w14:paraId="7610DBEC">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eastAsia="zh-CN"/>
              </w:rPr>
              <w:t>0</w:t>
            </w:r>
          </w:p>
        </w:tc>
        <w:tc>
          <w:tcPr>
            <w:tcW w:w="577" w:type="dxa"/>
            <w:shd w:val="clear" w:color="auto" w:fill="auto"/>
            <w:tcMar>
              <w:left w:w="108" w:type="dxa"/>
              <w:right w:w="108" w:type="dxa"/>
            </w:tcMar>
            <w:vAlign w:val="center"/>
          </w:tcPr>
          <w:p w14:paraId="0B643DA5">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593" w:type="dxa"/>
            <w:shd w:val="clear" w:color="auto" w:fill="auto"/>
            <w:tcMar>
              <w:left w:w="108" w:type="dxa"/>
              <w:right w:w="108" w:type="dxa"/>
            </w:tcMar>
            <w:vAlign w:val="center"/>
          </w:tcPr>
          <w:p w14:paraId="73312E59">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606" w:type="dxa"/>
            <w:shd w:val="clear" w:color="auto" w:fill="auto"/>
            <w:tcMar>
              <w:left w:w="108" w:type="dxa"/>
              <w:right w:w="108" w:type="dxa"/>
            </w:tcMar>
            <w:vAlign w:val="center"/>
          </w:tcPr>
          <w:p w14:paraId="7D0873CD">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708" w:type="dxa"/>
            <w:shd w:val="clear" w:color="auto" w:fill="auto"/>
            <w:tcMar>
              <w:left w:w="108" w:type="dxa"/>
              <w:right w:w="108" w:type="dxa"/>
            </w:tcMar>
            <w:vAlign w:val="center"/>
          </w:tcPr>
          <w:p w14:paraId="57F1A08E">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567" w:type="dxa"/>
            <w:shd w:val="clear" w:color="auto" w:fill="auto"/>
            <w:tcMar>
              <w:left w:w="108" w:type="dxa"/>
              <w:right w:w="108" w:type="dxa"/>
            </w:tcMar>
            <w:vAlign w:val="center"/>
          </w:tcPr>
          <w:p w14:paraId="33B8FA8A">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c>
          <w:tcPr>
            <w:tcW w:w="851" w:type="dxa"/>
            <w:shd w:val="clear" w:color="auto" w:fill="auto"/>
            <w:tcMar>
              <w:left w:w="108" w:type="dxa"/>
              <w:right w:w="108" w:type="dxa"/>
            </w:tcMar>
            <w:vAlign w:val="center"/>
          </w:tcPr>
          <w:p w14:paraId="45764141">
            <w:pPr>
              <w:keepNext w:val="0"/>
              <w:keepLines w:val="0"/>
              <w:pageBreakBefore w:val="0"/>
              <w:widowControl/>
              <w:kinsoku/>
              <w:wordWrap/>
              <w:overflowPunct/>
              <w:topLinePunct w:val="0"/>
              <w:autoSpaceDE/>
              <w:autoSpaceDN/>
              <w:bidi w:val="0"/>
              <w:adjustRightInd/>
              <w:snapToGrid/>
              <w:spacing w:after="180" w:line="260" w:lineRule="exact"/>
              <w:jc w:val="center"/>
              <w:textAlignment w:val="auto"/>
              <w:rPr>
                <w:rFonts w:hint="eastAsia" w:ascii="仿宋_GB2312" w:hAnsi="Times New Roman" w:eastAsia="仿宋_GB2312" w:cstheme="minorBidi"/>
                <w:kern w:val="2"/>
                <w:sz w:val="24"/>
                <w:szCs w:val="24"/>
                <w:lang w:val="en-US" w:eastAsia="zh-CN" w:bidi="ar-SA"/>
              </w:rPr>
            </w:pPr>
            <w:r>
              <w:rPr>
                <w:rFonts w:hint="eastAsia" w:ascii="仿宋_GB2312" w:hAnsi="Times New Roman" w:eastAsia="仿宋_GB2312"/>
                <w:sz w:val="24"/>
                <w:szCs w:val="24"/>
                <w:lang w:val="en-US" w:eastAsia="zh-CN"/>
              </w:rPr>
              <w:t>0</w:t>
            </w:r>
          </w:p>
        </w:tc>
      </w:tr>
    </w:tbl>
    <w:p w14:paraId="601CC6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四、因政府信息公开工作被申请行政复议、提起行政诉讼情况</w:t>
      </w:r>
    </w:p>
    <w:tbl>
      <w:tblPr>
        <w:tblStyle w:val="7"/>
        <w:tblW w:w="9902" w:type="dxa"/>
        <w:jc w:val="center"/>
        <w:tblLayout w:type="autofit"/>
        <w:tblCellMar>
          <w:top w:w="0" w:type="dxa"/>
          <w:left w:w="0" w:type="dxa"/>
          <w:bottom w:w="0" w:type="dxa"/>
          <w:right w:w="0" w:type="dxa"/>
        </w:tblCellMar>
      </w:tblPr>
      <w:tblGrid>
        <w:gridCol w:w="803"/>
        <w:gridCol w:w="649"/>
        <w:gridCol w:w="649"/>
        <w:gridCol w:w="649"/>
        <w:gridCol w:w="649"/>
        <w:gridCol w:w="649"/>
        <w:gridCol w:w="649"/>
        <w:gridCol w:w="650"/>
        <w:gridCol w:w="650"/>
        <w:gridCol w:w="650"/>
        <w:gridCol w:w="651"/>
        <w:gridCol w:w="651"/>
        <w:gridCol w:w="651"/>
        <w:gridCol w:w="651"/>
        <w:gridCol w:w="651"/>
      </w:tblGrid>
      <w:tr w14:paraId="774AC788">
        <w:tblPrEx>
          <w:tblCellMar>
            <w:top w:w="0" w:type="dxa"/>
            <w:left w:w="0" w:type="dxa"/>
            <w:bottom w:w="0" w:type="dxa"/>
            <w:right w:w="0" w:type="dxa"/>
          </w:tblCellMar>
        </w:tblPrEx>
        <w:trPr>
          <w:jc w:val="center"/>
        </w:trPr>
        <w:tc>
          <w:tcPr>
            <w:tcW w:w="3399"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BA2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9B63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行政诉讼</w:t>
            </w:r>
          </w:p>
        </w:tc>
      </w:tr>
      <w:tr w14:paraId="6EC89055">
        <w:tblPrEx>
          <w:tblCellMar>
            <w:top w:w="0" w:type="dxa"/>
            <w:left w:w="0" w:type="dxa"/>
            <w:bottom w:w="0" w:type="dxa"/>
            <w:right w:w="0" w:type="dxa"/>
          </w:tblCellMar>
        </w:tblPrEx>
        <w:trPr>
          <w:jc w:val="center"/>
        </w:trPr>
        <w:tc>
          <w:tcPr>
            <w:tcW w:w="80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B8D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29D4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ADE2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B3E6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尚未</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AFD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F42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3D7A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复议后起诉</w:t>
            </w:r>
          </w:p>
        </w:tc>
      </w:tr>
      <w:tr w14:paraId="0A04A35B">
        <w:tblPrEx>
          <w:tblCellMar>
            <w:top w:w="0" w:type="dxa"/>
            <w:left w:w="0" w:type="dxa"/>
            <w:bottom w:w="0" w:type="dxa"/>
            <w:right w:w="0" w:type="dxa"/>
          </w:tblCellMar>
        </w:tblPrEx>
        <w:trPr>
          <w:jc w:val="center"/>
        </w:trPr>
        <w:tc>
          <w:tcPr>
            <w:tcW w:w="803" w:type="dxa"/>
            <w:vMerge w:val="continue"/>
            <w:tcBorders>
              <w:top w:val="nil"/>
              <w:left w:val="single" w:color="auto" w:sz="8" w:space="0"/>
              <w:bottom w:val="single" w:color="auto" w:sz="8" w:space="0"/>
              <w:right w:val="single" w:color="auto" w:sz="8" w:space="0"/>
            </w:tcBorders>
            <w:vAlign w:val="center"/>
          </w:tcPr>
          <w:p w14:paraId="2D5285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p>
        </w:tc>
        <w:tc>
          <w:tcPr>
            <w:tcW w:w="649" w:type="dxa"/>
            <w:vMerge w:val="continue"/>
            <w:tcBorders>
              <w:top w:val="nil"/>
              <w:left w:val="single" w:color="auto" w:sz="8" w:space="0"/>
              <w:bottom w:val="single" w:color="auto" w:sz="8" w:space="0"/>
              <w:right w:val="single" w:color="auto" w:sz="8" w:space="0"/>
            </w:tcBorders>
            <w:vAlign w:val="center"/>
          </w:tcPr>
          <w:p w14:paraId="07B5E9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6949C33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4EBEE7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55BB2B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F10C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E4FB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943B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7FB7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尚未</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1B11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BCF1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ACDC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结果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5023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其他</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4D7F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尚未</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3FFA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总计</w:t>
            </w:r>
          </w:p>
        </w:tc>
      </w:tr>
      <w:tr w14:paraId="05A0C5DE">
        <w:tblPrEx>
          <w:tblCellMar>
            <w:top w:w="0" w:type="dxa"/>
            <w:left w:w="0" w:type="dxa"/>
            <w:bottom w:w="0" w:type="dxa"/>
            <w:right w:w="0" w:type="dxa"/>
          </w:tblCellMar>
        </w:tblPrEx>
        <w:trPr>
          <w:trHeight w:val="672" w:hRule="atLeast"/>
          <w:jc w:val="center"/>
        </w:trPr>
        <w:tc>
          <w:tcPr>
            <w:tcW w:w="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93CD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0"/>
                <w:sz w:val="28"/>
                <w:szCs w:val="28"/>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FFFD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0"/>
                <w:sz w:val="28"/>
                <w:szCs w:val="28"/>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190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0"/>
                <w:sz w:val="28"/>
                <w:szCs w:val="28"/>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DD9D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8AA9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32CD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8738C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04E4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8067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C6BD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3825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CEAB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1115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E6C5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D2CF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0</w:t>
            </w:r>
          </w:p>
        </w:tc>
      </w:tr>
    </w:tbl>
    <w:p w14:paraId="2EADA9BF">
      <w:pPr>
        <w:spacing w:line="600" w:lineRule="exact"/>
        <w:ind w:right="-227" w:rightChars="-108" w:firstLine="640" w:firstLineChars="200"/>
        <w:rPr>
          <w:rFonts w:ascii="黑体" w:hAnsi="黑体" w:eastAsia="黑体"/>
          <w:sz w:val="32"/>
          <w:szCs w:val="32"/>
        </w:rPr>
      </w:pPr>
      <w:r>
        <w:rPr>
          <w:rFonts w:hint="eastAsia" w:ascii="黑体" w:hAnsi="黑体" w:eastAsia="黑体"/>
          <w:sz w:val="32"/>
          <w:szCs w:val="32"/>
        </w:rPr>
        <w:t>五、政府信息公开工作存在的主要问题及改进情况</w:t>
      </w:r>
    </w:p>
    <w:p w14:paraId="0F2C7216">
      <w:pPr>
        <w:spacing w:line="600" w:lineRule="exact"/>
        <w:ind w:left="-2" w:leftChars="-1"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在政务公开信息</w:t>
      </w:r>
      <w:r>
        <w:rPr>
          <w:rFonts w:hint="eastAsia" w:ascii="仿宋_GB2312" w:hAnsi="仿宋_GB2312" w:eastAsia="仿宋_GB2312" w:cs="仿宋_GB2312"/>
          <w:sz w:val="31"/>
          <w:szCs w:val="31"/>
        </w:rPr>
        <w:t>“三审三校”</w:t>
      </w:r>
      <w:r>
        <w:rPr>
          <w:rFonts w:hint="eastAsia" w:ascii="仿宋_GB2312" w:hAnsi="仿宋_GB2312" w:eastAsia="仿宋_GB2312" w:cs="仿宋_GB2312"/>
          <w:sz w:val="31"/>
          <w:szCs w:val="31"/>
          <w:lang w:val="en-US" w:eastAsia="zh-CN"/>
        </w:rPr>
        <w:t>过程中，发现以下问题：一是部分提报的信息存在内容片面、关键点缺失的问题，需要再补充相关内容，缺乏对信息完整性和准确性的有效把控。二是部分提报的信息存在表述不清晰、逻辑不连贯等问题，这反映出审核标准不够严格，审核人员水平有待提高。</w:t>
      </w:r>
    </w:p>
    <w:p w14:paraId="1DB63808">
      <w:pPr>
        <w:spacing w:line="600" w:lineRule="exact"/>
        <w:ind w:left="-2" w:leftChars="-1"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下一步，我局将</w:t>
      </w:r>
      <w:r>
        <w:rPr>
          <w:rFonts w:hint="eastAsia" w:ascii="仿宋_GB2312" w:hAnsi="仿宋_GB2312" w:eastAsia="仿宋_GB2312" w:cs="仿宋_GB2312"/>
          <w:sz w:val="31"/>
          <w:szCs w:val="31"/>
          <w:lang w:val="en-US" w:eastAsia="zh-CN"/>
        </w:rPr>
        <w:t>进一步明确</w:t>
      </w:r>
      <w:r>
        <w:rPr>
          <w:rFonts w:hint="eastAsia" w:ascii="仿宋_GB2312" w:hAnsi="仿宋_GB2312" w:eastAsia="仿宋_GB2312" w:cs="仿宋_GB2312"/>
          <w:sz w:val="31"/>
          <w:szCs w:val="31"/>
        </w:rPr>
        <w:t>“三审三校”</w:t>
      </w:r>
      <w:r>
        <w:rPr>
          <w:rFonts w:hint="eastAsia" w:ascii="仿宋_GB2312" w:hAnsi="仿宋_GB2312" w:eastAsia="仿宋_GB2312" w:cs="仿宋_GB2312"/>
          <w:sz w:val="31"/>
          <w:szCs w:val="31"/>
          <w:lang w:val="en-US" w:eastAsia="zh-CN"/>
        </w:rPr>
        <w:t>政务公开信息内容标准和规范，确保应公开信息全面公开，完善</w:t>
      </w:r>
      <w:r>
        <w:rPr>
          <w:rFonts w:hint="eastAsia" w:ascii="仿宋_GB2312" w:hAnsi="仿宋_GB2312" w:eastAsia="仿宋_GB2312" w:cs="仿宋_GB2312"/>
          <w:sz w:val="31"/>
          <w:szCs w:val="31"/>
        </w:rPr>
        <w:t>“三审三校”</w:t>
      </w:r>
      <w:r>
        <w:rPr>
          <w:rFonts w:hint="eastAsia" w:ascii="仿宋_GB2312" w:hAnsi="仿宋_GB2312" w:eastAsia="仿宋_GB2312" w:cs="仿宋_GB2312"/>
          <w:sz w:val="31"/>
          <w:szCs w:val="31"/>
          <w:lang w:val="en-US" w:eastAsia="zh-CN"/>
        </w:rPr>
        <w:t>信息报送机制，定期组织针对政务公开“三审三校”工作人员的业务培训，提升信息处理能力，避免出现内容缺失、表述不清晰等问题。</w:t>
      </w:r>
    </w:p>
    <w:p w14:paraId="18D7F9ED">
      <w:pPr>
        <w:spacing w:line="600" w:lineRule="exact"/>
        <w:ind w:right="-227" w:rightChars="-108" w:firstLine="640" w:firstLineChars="200"/>
        <w:rPr>
          <w:rFonts w:ascii="黑体" w:hAnsi="黑体" w:eastAsia="黑体"/>
          <w:sz w:val="32"/>
          <w:szCs w:val="32"/>
        </w:rPr>
      </w:pPr>
      <w:r>
        <w:rPr>
          <w:rFonts w:hint="eastAsia" w:ascii="黑体" w:hAnsi="黑体" w:eastAsia="黑体"/>
          <w:sz w:val="32"/>
          <w:szCs w:val="32"/>
        </w:rPr>
        <w:t>六、其他需要报告的事项</w:t>
      </w:r>
    </w:p>
    <w:p w14:paraId="4DC8BA5B">
      <w:pPr>
        <w:spacing w:line="600" w:lineRule="exact"/>
        <w:ind w:left="-2" w:leftChars="-1"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（一）依据《政府信息公开信息处理费管理办法》收取信息处理费的情况：无。</w:t>
      </w:r>
    </w:p>
    <w:p w14:paraId="01B39FE7">
      <w:pPr>
        <w:spacing w:line="600" w:lineRule="exact"/>
        <w:ind w:left="-2" w:leftChars="-1"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（二）本行政机关落实上级年度政务公开工作要点情况</w:t>
      </w:r>
    </w:p>
    <w:p w14:paraId="1D6F828C">
      <w:pPr>
        <w:spacing w:line="600" w:lineRule="exact"/>
        <w:ind w:left="-2" w:leftChars="-1"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一是设定任务目标。印发《济南市科学技术局2024年度政务公开工作实施方案》，对重点任务目标进行逐项分解，制定责任清单，明确职责权属，</w:t>
      </w:r>
      <w:r>
        <w:rPr>
          <w:rFonts w:hint="eastAsia" w:ascii="仿宋_GB2312" w:hAnsi="仿宋_GB2312" w:eastAsia="仿宋_GB2312" w:cs="仿宋_GB2312"/>
          <w:sz w:val="31"/>
          <w:szCs w:val="31"/>
        </w:rPr>
        <w:t>落实主体责任</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做到权责清晰，避免出现推诿扯皮现象。二是落实“三审三校”。强化工作人员培训，讲解审核校对的要点、标准和规范，通过实际案例分析等方式加深理解，提升业务能力。落实责任到人，明确每个环节的具体工作内容、时间节点和责任人，确保审核校对工作有序进行。工作人员认真履行职责。畅通投诉举报渠道，接受社会公众的监督，对违反制度的行为进行严肃处理。三是开展检查监测。为了确保各项工作任务能够落实到位，按照年度重点任务目标安排，对政务公开工作进行检查监测，及时掌握工作进展情况，及时调整工作策略，确保各项工作顺利推进，提升政务公开工作质效，打造更加透明、高效、便民的政务公开环境，为推动科技创新发展提供有力支撑。</w:t>
      </w:r>
    </w:p>
    <w:p w14:paraId="7DCAE8F9">
      <w:pPr>
        <w:spacing w:line="600" w:lineRule="exact"/>
        <w:ind w:left="-2" w:leftChars="-1"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（三）人大代表建议和政协提案办理结果情况</w:t>
      </w:r>
    </w:p>
    <w:p w14:paraId="04FA41AA">
      <w:pPr>
        <w:spacing w:line="600" w:lineRule="exact"/>
        <w:ind w:left="-2" w:leftChars="-1" w:firstLine="620" w:firstLineChars="200"/>
        <w:rPr>
          <w:rFonts w:ascii="仿宋_GB2312" w:hAnsi="仿宋_GB2312" w:eastAsia="仿宋_GB2312" w:cs="仿宋_GB2312"/>
          <w:sz w:val="31"/>
          <w:szCs w:val="31"/>
        </w:rPr>
      </w:pPr>
      <w:r>
        <w:rPr>
          <w:rFonts w:ascii="仿宋_GB2312" w:hAnsi="仿宋_GB2312" w:eastAsia="仿宋_GB2312" w:cs="仿宋_GB2312"/>
          <w:sz w:val="31"/>
          <w:szCs w:val="31"/>
        </w:rPr>
        <w:t>及时公开人大建议、政协提案办理结果，</w:t>
      </w:r>
      <w:r>
        <w:rPr>
          <w:rFonts w:hint="eastAsia" w:ascii="仿宋_GB2312" w:hAnsi="仿宋_GB2312" w:eastAsia="仿宋_GB2312" w:cs="仿宋_GB2312"/>
          <w:sz w:val="31"/>
          <w:szCs w:val="31"/>
        </w:rPr>
        <w:t>202</w:t>
      </w:r>
      <w:r>
        <w:rPr>
          <w:rFonts w:hint="eastAsia" w:ascii="仿宋_GB2312" w:hAnsi="仿宋_GB2312" w:eastAsia="仿宋_GB2312" w:cs="仿宋_GB2312"/>
          <w:sz w:val="31"/>
          <w:szCs w:val="31"/>
          <w:lang w:val="en-US" w:eastAsia="zh-CN"/>
        </w:rPr>
        <w:t>4</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lang w:val="en-US" w:eastAsia="zh-CN"/>
        </w:rPr>
        <w:t>以</w:t>
      </w:r>
      <w:r>
        <w:rPr>
          <w:rFonts w:hint="eastAsia" w:ascii="仿宋_GB2312" w:hAnsi="仿宋_GB2312" w:eastAsia="仿宋_GB2312" w:cs="仿宋_GB2312"/>
          <w:sz w:val="31"/>
          <w:szCs w:val="31"/>
        </w:rPr>
        <w:t>我局为主承办市人大建议、市政协提案</w:t>
      </w:r>
      <w:r>
        <w:rPr>
          <w:rFonts w:hint="eastAsia" w:ascii="仿宋_GB2312" w:hAnsi="仿宋_GB2312" w:eastAsia="仿宋_GB2312" w:cs="仿宋_GB2312"/>
          <w:sz w:val="31"/>
          <w:szCs w:val="31"/>
          <w:lang w:val="en-US" w:eastAsia="zh-CN"/>
        </w:rPr>
        <w:t>61</w:t>
      </w:r>
      <w:r>
        <w:rPr>
          <w:rFonts w:hint="eastAsia" w:ascii="仿宋_GB2312" w:hAnsi="仿宋_GB2312" w:eastAsia="仿宋_GB2312" w:cs="仿宋_GB2312"/>
          <w:sz w:val="31"/>
          <w:szCs w:val="31"/>
        </w:rPr>
        <w:t>件，按时保质完成办理答复工作，面复率、办结率、满意率均为100%</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并分类进</w:t>
      </w:r>
      <w:r>
        <w:rPr>
          <w:rFonts w:ascii="仿宋_GB2312" w:hAnsi="仿宋_GB2312" w:eastAsia="仿宋_GB2312" w:cs="仿宋_GB2312"/>
          <w:sz w:val="31"/>
          <w:szCs w:val="31"/>
        </w:rPr>
        <w:t>行全文公开或者摘要公开。</w:t>
      </w:r>
    </w:p>
    <w:p w14:paraId="4AA8FE3A">
      <w:pPr>
        <w:spacing w:line="600" w:lineRule="exact"/>
        <w:ind w:left="-2" w:leftChars="-1"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（四）本行政机关政府信息公开工作年度报告数据统计需要说明的事项：无。</w:t>
      </w:r>
    </w:p>
    <w:p w14:paraId="15AD1706">
      <w:pPr>
        <w:spacing w:line="600" w:lineRule="exact"/>
        <w:ind w:left="-2" w:leftChars="-1"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（五）本行政机关认为需要报告的其他事项：无。</w:t>
      </w:r>
    </w:p>
    <w:p w14:paraId="6599C299">
      <w:pPr>
        <w:spacing w:line="600" w:lineRule="exact"/>
        <w:ind w:left="-2" w:leftChars="-1"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（六）其他有关文件专门要求通过政府信息公开工作年度报告予以报告的事项：无。</w:t>
      </w:r>
    </w:p>
    <w:p w14:paraId="138A16E1">
      <w:pPr>
        <w:spacing w:line="600" w:lineRule="exact"/>
        <w:ind w:left="-2" w:leftChars="-1" w:firstLine="620" w:firstLineChars="200"/>
        <w:rPr>
          <w:rFonts w:hint="eastAsia" w:ascii="仿宋_GB2312" w:hAnsi="仿宋_GB2312" w:eastAsia="仿宋_GB2312" w:cs="仿宋_GB2312"/>
          <w:sz w:val="31"/>
          <w:szCs w:val="31"/>
        </w:rPr>
      </w:pPr>
    </w:p>
    <w:p w14:paraId="69208582">
      <w:pPr>
        <w:spacing w:line="600" w:lineRule="exact"/>
        <w:ind w:left="-2" w:leftChars="-1" w:firstLine="620" w:firstLineChars="200"/>
        <w:rPr>
          <w:rFonts w:hint="eastAsia" w:ascii="仿宋_GB2312" w:hAnsi="仿宋_GB2312" w:eastAsia="仿宋_GB2312" w:cs="仿宋_GB2312"/>
          <w:sz w:val="31"/>
          <w:szCs w:val="31"/>
        </w:rPr>
      </w:pPr>
    </w:p>
    <w:p w14:paraId="180AABB2">
      <w:pPr>
        <w:spacing w:line="600" w:lineRule="exact"/>
        <w:ind w:left="-2" w:leftChars="-1" w:firstLine="620" w:firstLineChars="200"/>
        <w:rPr>
          <w:rFonts w:hint="eastAsia" w:ascii="仿宋_GB2312" w:hAnsi="仿宋_GB2312" w:eastAsia="仿宋_GB2312" w:cs="仿宋_GB2312"/>
          <w:sz w:val="31"/>
          <w:szCs w:val="31"/>
        </w:rPr>
      </w:pPr>
    </w:p>
    <w:p w14:paraId="67D425BA">
      <w:pPr>
        <w:spacing w:line="600" w:lineRule="exact"/>
        <w:ind w:left="-2" w:leftChars="-1" w:firstLine="620" w:firstLineChars="200"/>
        <w:rPr>
          <w:rFonts w:hint="eastAsia" w:ascii="仿宋_GB2312" w:hAnsi="仿宋_GB2312" w:eastAsia="仿宋_GB2312" w:cs="仿宋_GB2312"/>
          <w:sz w:val="31"/>
          <w:szCs w:val="31"/>
        </w:rPr>
      </w:pPr>
    </w:p>
    <w:p w14:paraId="1D8E43EE">
      <w:pPr>
        <w:spacing w:line="600" w:lineRule="exact"/>
        <w:ind w:left="-2" w:leftChars="-1" w:firstLine="4253" w:firstLineChars="1372"/>
        <w:jc w:val="center"/>
        <w:rPr>
          <w:rFonts w:ascii="仿宋_GB2312" w:hAnsi="仿宋_GB2312" w:eastAsia="仿宋_GB2312" w:cs="仿宋_GB2312"/>
          <w:sz w:val="31"/>
          <w:szCs w:val="31"/>
        </w:rPr>
      </w:pPr>
      <w:r>
        <w:rPr>
          <w:rFonts w:hint="eastAsia" w:ascii="仿宋_GB2312" w:hAnsi="仿宋_GB2312" w:eastAsia="仿宋_GB2312" w:cs="仿宋_GB2312"/>
          <w:sz w:val="31"/>
          <w:szCs w:val="31"/>
        </w:rPr>
        <w:t xml:space="preserve">        </w:t>
      </w:r>
      <w:r>
        <w:rPr>
          <w:rFonts w:ascii="仿宋_GB2312" w:hAnsi="仿宋_GB2312" w:eastAsia="仿宋_GB2312" w:cs="仿宋_GB2312"/>
          <w:sz w:val="31"/>
          <w:szCs w:val="31"/>
        </w:rPr>
        <w:t>济南市科学技术局</w:t>
      </w:r>
    </w:p>
    <w:p w14:paraId="11501366">
      <w:pPr>
        <w:pStyle w:val="2"/>
        <w:spacing w:line="600" w:lineRule="exact"/>
        <w:ind w:left="0" w:right="277" w:firstLine="4390" w:firstLineChars="1372"/>
        <w:jc w:val="center"/>
        <w:rPr>
          <w:lang w:eastAsia="zh-CN"/>
        </w:rPr>
      </w:pPr>
      <w:r>
        <w:rPr>
          <w:lang w:eastAsia="zh-CN"/>
        </w:rPr>
        <w:t xml:space="preserve">          2024年1月</w:t>
      </w:r>
      <w:r>
        <w:rPr>
          <w:rFonts w:hint="eastAsia"/>
          <w:lang w:val="en-US" w:eastAsia="zh-CN"/>
        </w:rPr>
        <w:t>24</w:t>
      </w:r>
      <w:bookmarkStart w:id="0" w:name="_GoBack"/>
      <w:bookmarkEnd w:id="0"/>
      <w:r>
        <w:rPr>
          <w:lang w:eastAsia="zh-CN"/>
        </w:rPr>
        <w:t>日</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CESI楷体-GB2312">
    <w:altName w:val="楷体_GB2312"/>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9B5C">
    <w:pPr>
      <w:pStyle w:val="4"/>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3DACE">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13DACE">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D1"/>
    <w:rsid w:val="00022AAA"/>
    <w:rsid w:val="000E1E7C"/>
    <w:rsid w:val="00145F9E"/>
    <w:rsid w:val="001666FC"/>
    <w:rsid w:val="001E1F91"/>
    <w:rsid w:val="002007A6"/>
    <w:rsid w:val="00222826"/>
    <w:rsid w:val="002424F4"/>
    <w:rsid w:val="0025023D"/>
    <w:rsid w:val="00266991"/>
    <w:rsid w:val="0027479F"/>
    <w:rsid w:val="002B02B5"/>
    <w:rsid w:val="002B5EDD"/>
    <w:rsid w:val="002D7F9F"/>
    <w:rsid w:val="00322C07"/>
    <w:rsid w:val="0036007F"/>
    <w:rsid w:val="00362228"/>
    <w:rsid w:val="00397CF8"/>
    <w:rsid w:val="003D7480"/>
    <w:rsid w:val="003F6841"/>
    <w:rsid w:val="00411C3F"/>
    <w:rsid w:val="004767ED"/>
    <w:rsid w:val="004A5D9C"/>
    <w:rsid w:val="005239CE"/>
    <w:rsid w:val="00563328"/>
    <w:rsid w:val="005771D3"/>
    <w:rsid w:val="00656479"/>
    <w:rsid w:val="006624FC"/>
    <w:rsid w:val="00671D57"/>
    <w:rsid w:val="006D4D70"/>
    <w:rsid w:val="006E1949"/>
    <w:rsid w:val="00715F22"/>
    <w:rsid w:val="00770243"/>
    <w:rsid w:val="007D707E"/>
    <w:rsid w:val="008068A9"/>
    <w:rsid w:val="00843823"/>
    <w:rsid w:val="00864E10"/>
    <w:rsid w:val="008B722E"/>
    <w:rsid w:val="008C1671"/>
    <w:rsid w:val="008E39CD"/>
    <w:rsid w:val="009554FD"/>
    <w:rsid w:val="0099287B"/>
    <w:rsid w:val="009E446A"/>
    <w:rsid w:val="009F1B25"/>
    <w:rsid w:val="009F6DB5"/>
    <w:rsid w:val="00A05484"/>
    <w:rsid w:val="00A150C1"/>
    <w:rsid w:val="00A15E71"/>
    <w:rsid w:val="00A51FD3"/>
    <w:rsid w:val="00A90400"/>
    <w:rsid w:val="00B0704F"/>
    <w:rsid w:val="00B3365C"/>
    <w:rsid w:val="00B45530"/>
    <w:rsid w:val="00B704D9"/>
    <w:rsid w:val="00B7698A"/>
    <w:rsid w:val="00B83CAB"/>
    <w:rsid w:val="00BF0F1E"/>
    <w:rsid w:val="00C654CB"/>
    <w:rsid w:val="00C97F51"/>
    <w:rsid w:val="00CB1DB6"/>
    <w:rsid w:val="00CB63D1"/>
    <w:rsid w:val="00D04169"/>
    <w:rsid w:val="00D533E4"/>
    <w:rsid w:val="00EF016C"/>
    <w:rsid w:val="00F00377"/>
    <w:rsid w:val="00F37FFB"/>
    <w:rsid w:val="00F46D15"/>
    <w:rsid w:val="00F6028B"/>
    <w:rsid w:val="00F97B01"/>
    <w:rsid w:val="00FA0A72"/>
    <w:rsid w:val="00FA10B4"/>
    <w:rsid w:val="0154000B"/>
    <w:rsid w:val="021C29C7"/>
    <w:rsid w:val="024E4B4B"/>
    <w:rsid w:val="029C7664"/>
    <w:rsid w:val="041D688F"/>
    <w:rsid w:val="04642403"/>
    <w:rsid w:val="055B3B66"/>
    <w:rsid w:val="0570011C"/>
    <w:rsid w:val="05E97064"/>
    <w:rsid w:val="081D0CC0"/>
    <w:rsid w:val="08271E91"/>
    <w:rsid w:val="0A2A0D20"/>
    <w:rsid w:val="0B47554B"/>
    <w:rsid w:val="10210C49"/>
    <w:rsid w:val="1241385E"/>
    <w:rsid w:val="12DC69B6"/>
    <w:rsid w:val="165F6ECF"/>
    <w:rsid w:val="18B21538"/>
    <w:rsid w:val="1C22105F"/>
    <w:rsid w:val="1CF81466"/>
    <w:rsid w:val="26115819"/>
    <w:rsid w:val="27B843E5"/>
    <w:rsid w:val="32195713"/>
    <w:rsid w:val="36C24BE4"/>
    <w:rsid w:val="39AB61BC"/>
    <w:rsid w:val="3B843C92"/>
    <w:rsid w:val="3D5F318D"/>
    <w:rsid w:val="3E161231"/>
    <w:rsid w:val="3F3C0A99"/>
    <w:rsid w:val="3FC419CD"/>
    <w:rsid w:val="41F125F4"/>
    <w:rsid w:val="43CE261E"/>
    <w:rsid w:val="446C690D"/>
    <w:rsid w:val="44EE129A"/>
    <w:rsid w:val="46B82087"/>
    <w:rsid w:val="48FC731D"/>
    <w:rsid w:val="491E0094"/>
    <w:rsid w:val="4B206D94"/>
    <w:rsid w:val="4BE20661"/>
    <w:rsid w:val="4C417E0C"/>
    <w:rsid w:val="4E757268"/>
    <w:rsid w:val="4EF87159"/>
    <w:rsid w:val="523A5B1F"/>
    <w:rsid w:val="524A30FC"/>
    <w:rsid w:val="55674FA4"/>
    <w:rsid w:val="57FB6F3E"/>
    <w:rsid w:val="5869013B"/>
    <w:rsid w:val="5AC979A3"/>
    <w:rsid w:val="5AE513F2"/>
    <w:rsid w:val="5CF5721C"/>
    <w:rsid w:val="602108B3"/>
    <w:rsid w:val="60A44389"/>
    <w:rsid w:val="63E37DC4"/>
    <w:rsid w:val="642970C6"/>
    <w:rsid w:val="65693E18"/>
    <w:rsid w:val="65A75593"/>
    <w:rsid w:val="66AC61F0"/>
    <w:rsid w:val="699735A6"/>
    <w:rsid w:val="6C495098"/>
    <w:rsid w:val="6DAFD3BD"/>
    <w:rsid w:val="6EFD82D7"/>
    <w:rsid w:val="72745024"/>
    <w:rsid w:val="75163F17"/>
    <w:rsid w:val="7530098F"/>
    <w:rsid w:val="76E0075A"/>
    <w:rsid w:val="76FF5B4B"/>
    <w:rsid w:val="77FF45DF"/>
    <w:rsid w:val="79106060"/>
    <w:rsid w:val="79D452E4"/>
    <w:rsid w:val="7BBA0738"/>
    <w:rsid w:val="7BD03592"/>
    <w:rsid w:val="7D366D5F"/>
    <w:rsid w:val="7F7E9EBD"/>
    <w:rsid w:val="7F8FA543"/>
    <w:rsid w:val="B16F4C49"/>
    <w:rsid w:val="DFB28EB1"/>
    <w:rsid w:val="E57F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1"/>
    <w:pPr>
      <w:ind w:left="120"/>
      <w:jc w:val="left"/>
    </w:pPr>
    <w:rPr>
      <w:rFonts w:ascii="仿宋_GB2312" w:hAnsi="仿宋_GB2312" w:eastAsia="仿宋_GB2312"/>
      <w:kern w:val="0"/>
      <w:sz w:val="32"/>
      <w:szCs w:val="32"/>
      <w:lang w:eastAsia="en-US"/>
    </w:rPr>
  </w:style>
  <w:style w:type="paragraph" w:styleId="3">
    <w:name w:val="Date"/>
    <w:basedOn w:val="1"/>
    <w:next w:val="1"/>
    <w:link w:val="19"/>
    <w:semiHidden/>
    <w:unhideWhenUsed/>
    <w:qFormat/>
    <w:uiPriority w:val="99"/>
    <w:pPr>
      <w:ind w:left="100" w:leftChars="250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paragraph" w:customStyle="1" w:styleId="10">
    <w:name w:val="【公文1】标题"/>
    <w:basedOn w:val="1"/>
    <w:next w:val="11"/>
    <w:qFormat/>
    <w:uiPriority w:val="0"/>
    <w:pPr>
      <w:spacing w:line="580" w:lineRule="exact"/>
      <w:jc w:val="center"/>
    </w:pPr>
    <w:rPr>
      <w:rFonts w:ascii="Times New Roman" w:hAnsi="Times New Roman" w:eastAsia="方正小标宋简体" w:cs="Times New Roman"/>
      <w:sz w:val="44"/>
    </w:rPr>
  </w:style>
  <w:style w:type="paragraph" w:customStyle="1" w:styleId="11">
    <w:name w:val="【公文5】正文"/>
    <w:basedOn w:val="12"/>
    <w:qFormat/>
    <w:uiPriority w:val="0"/>
    <w:pPr>
      <w:spacing w:line="580" w:lineRule="exact"/>
      <w:ind w:firstLine="880" w:firstLineChars="200"/>
      <w:jc w:val="both"/>
    </w:pPr>
    <w:rPr>
      <w:rFonts w:eastAsia="仿宋_GB2312"/>
    </w:rPr>
  </w:style>
  <w:style w:type="paragraph" w:customStyle="1" w:styleId="12">
    <w:name w:val="【公文4】二级标题"/>
    <w:basedOn w:val="13"/>
    <w:next w:val="11"/>
    <w:qFormat/>
    <w:uiPriority w:val="0"/>
    <w:pPr>
      <w:spacing w:line="580" w:lineRule="exact"/>
      <w:ind w:firstLine="880" w:firstLineChars="200"/>
      <w:jc w:val="both"/>
    </w:pPr>
    <w:rPr>
      <w:rFonts w:eastAsia="楷体_GB2312"/>
    </w:rPr>
  </w:style>
  <w:style w:type="paragraph" w:customStyle="1" w:styleId="13">
    <w:name w:val="【公文3】一级标题"/>
    <w:basedOn w:val="14"/>
    <w:next w:val="11"/>
    <w:qFormat/>
    <w:uiPriority w:val="0"/>
    <w:pPr>
      <w:spacing w:line="580" w:lineRule="exact"/>
      <w:ind w:firstLine="880" w:firstLineChars="200"/>
      <w:jc w:val="both"/>
    </w:pPr>
    <w:rPr>
      <w:rFonts w:eastAsia="黑体" w:cs="Times New Roman"/>
    </w:rPr>
  </w:style>
  <w:style w:type="paragraph" w:customStyle="1" w:styleId="14">
    <w:name w:val="【公文2】副标题"/>
    <w:basedOn w:val="10"/>
    <w:next w:val="11"/>
    <w:qFormat/>
    <w:uiPriority w:val="0"/>
    <w:pPr>
      <w:spacing w:line="580" w:lineRule="exact"/>
      <w:jc w:val="center"/>
    </w:pPr>
    <w:rPr>
      <w:rFonts w:eastAsia="楷体_GB2312"/>
      <w:sz w:val="32"/>
    </w:rPr>
  </w:style>
  <w:style w:type="paragraph" w:customStyle="1" w:styleId="15">
    <w:name w:val="【公文6】图片"/>
    <w:basedOn w:val="11"/>
    <w:qFormat/>
    <w:uiPriority w:val="0"/>
    <w:pPr>
      <w:spacing w:line="240" w:lineRule="auto"/>
      <w:ind w:firstLine="0" w:firstLineChars="0"/>
      <w:jc w:val="center"/>
    </w:pPr>
    <w:rPr>
      <w:rFonts w:ascii="Times New Roman" w:hAnsi="Times New Roman"/>
    </w:rPr>
  </w:style>
  <w:style w:type="character" w:customStyle="1" w:styleId="16">
    <w:name w:val="页眉 字符"/>
    <w:basedOn w:val="8"/>
    <w:link w:val="5"/>
    <w:qFormat/>
    <w:uiPriority w:val="99"/>
    <w:rPr>
      <w:sz w:val="18"/>
      <w:szCs w:val="18"/>
    </w:rPr>
  </w:style>
  <w:style w:type="character" w:customStyle="1" w:styleId="17">
    <w:name w:val="页脚 字符"/>
    <w:basedOn w:val="8"/>
    <w:link w:val="4"/>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字符"/>
    <w:basedOn w:val="8"/>
    <w:link w:val="3"/>
    <w:semiHidden/>
    <w:qFormat/>
    <w:uiPriority w:val="99"/>
  </w:style>
  <w:style w:type="character" w:customStyle="1" w:styleId="20">
    <w:name w:val="正文文本 字符"/>
    <w:basedOn w:val="8"/>
    <w:link w:val="2"/>
    <w:qFormat/>
    <w:uiPriority w:val="1"/>
    <w:rPr>
      <w:rFonts w:ascii="仿宋_GB2312" w:hAnsi="仿宋_GB2312" w:eastAsia="仿宋_GB2312"/>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chart" Target="charts/chart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8" Type="http://schemas.microsoft.com/office/2011/relationships/chartColorStyle" Target="colors1.xml"/><Relationship Id="rId7" Type="http://schemas.microsoft.com/office/2011/relationships/chartStyle" Target="style1.xml"/><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3" Type="http://schemas.openxmlformats.org/officeDocument/2006/relationships/image" Target="../media/image4.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1" i="0" u="none" strike="noStrike" kern="1200" spc="0" baseline="0">
                <a:solidFill>
                  <a:schemeClr val="tx1">
                    <a:lumMod val="85000"/>
                    <a:lumOff val="1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200" b="1">
                <a:solidFill>
                  <a:schemeClr val="tx1">
                    <a:lumMod val="85000"/>
                    <a:lumOff val="15000"/>
                  </a:schemeClr>
                </a:solidFill>
                <a:latin typeface="宋体" panose="02010600030101010101" charset="-122"/>
                <a:ea typeface="宋体" panose="02010600030101010101" charset="-122"/>
              </a:rPr>
              <a:t>近三年依申请公开事项办理数量对比</a:t>
            </a:r>
            <a:endParaRPr sz="1200" b="1">
              <a:solidFill>
                <a:schemeClr val="tx1">
                  <a:lumMod val="85000"/>
                  <a:lumOff val="15000"/>
                </a:schemeClr>
              </a:solidFill>
              <a:latin typeface="宋体" panose="02010600030101010101" charset="-122"/>
              <a:ea typeface="宋体" panose="02010600030101010101" charset="-122"/>
            </a:endParaRPr>
          </a:p>
        </c:rich>
      </c:tx>
      <c:layout/>
      <c:overlay val="0"/>
      <c:spPr>
        <a:noFill/>
        <a:ln>
          <a:noFill/>
        </a:ln>
        <a:effectLst/>
      </c:spPr>
    </c:title>
    <c:autoTitleDeleted val="0"/>
    <c:plotArea>
      <c:layout>
        <c:manualLayout>
          <c:layoutTarget val="inner"/>
          <c:xMode val="edge"/>
          <c:yMode val="edge"/>
          <c:x val="0.0546119675986412"/>
          <c:y val="0.148759941925949"/>
          <c:w val="0.912725372354324"/>
          <c:h val="0.592861893150078"/>
        </c:manualLayout>
      </c:layout>
      <c:barChart>
        <c:barDir val="col"/>
        <c:grouping val="clustered"/>
        <c:varyColors val="0"/>
        <c:ser>
          <c:idx val="0"/>
          <c:order val="0"/>
          <c:tx>
            <c:strRef>
              <c:f>Sheet1!$B$1</c:f>
              <c:strCache>
                <c:ptCount val="1"/>
                <c:pt idx="0">
                  <c:v/>
                </c:pt>
              </c:strCache>
            </c:strRef>
          </c:tx>
          <c:spPr>
            <a:blipFill rotWithShape="1">
              <a:blip xmlns:r="http://schemas.openxmlformats.org/officeDocument/2006/relationships" r:embed="rId3"/>
              <a:stretch>
                <a:fillRect/>
              </a:stretch>
            </a:blipFill>
            <a:ln>
              <a:noFill/>
            </a:ln>
            <a:effectLst>
              <a:outerShdw blurRad="76200" dir="2400000" sy="23000" kx="-1200000" algn="bl" rotWithShape="0">
                <a:schemeClr val="bg1">
                  <a:lumMod val="50000"/>
                  <a:alpha val="20000"/>
                </a:schemeClr>
              </a:outerShdw>
            </a:effectLst>
          </c:spPr>
          <c:invertIfNegative val="0"/>
          <c:dPt>
            <c:idx val="0"/>
            <c:invertIfNegative val="0"/>
            <c:bubble3D val="0"/>
            <c:spPr>
              <a:blipFill rotWithShape="1">
                <a:blip xmlns:r="http://schemas.openxmlformats.org/officeDocument/2006/relationships" r:embed="rId4"/>
                <a:stretch>
                  <a:fillRect/>
                </a:stretch>
              </a:blipFill>
              <a:ln>
                <a:noFill/>
              </a:ln>
              <a:effectLst>
                <a:outerShdw blurRad="76200" dir="2400000" sy="23000" kx="-1200000" algn="bl" rotWithShape="0">
                  <a:schemeClr val="bg1">
                    <a:lumMod val="50000"/>
                    <a:alpha val="20000"/>
                  </a:schemeClr>
                </a:outerShdw>
              </a:effectLst>
            </c:spPr>
          </c:dPt>
          <c:dPt>
            <c:idx val="1"/>
            <c:invertIfNegative val="0"/>
            <c:bubble3D val="0"/>
            <c:spPr>
              <a:blipFill rotWithShape="1">
                <a:blip xmlns:r="http://schemas.openxmlformats.org/officeDocument/2006/relationships" r:embed="rId5"/>
                <a:stretch>
                  <a:fillRect/>
                </a:stretch>
              </a:blipFill>
              <a:ln>
                <a:noFill/>
              </a:ln>
              <a:effectLst>
                <a:outerShdw blurRad="76200" dir="2400000" sy="23000" kx="-1200000" algn="bl" rotWithShape="0">
                  <a:schemeClr val="bg1">
                    <a:lumMod val="50000"/>
                    <a:alpha val="20000"/>
                  </a:schemeClr>
                </a:outerShdw>
              </a:effectLst>
            </c:spPr>
          </c:dPt>
          <c:dPt>
            <c:idx val="2"/>
            <c:invertIfNegative val="0"/>
            <c:bubble3D val="0"/>
            <c:spPr>
              <a:blipFill rotWithShape="1">
                <a:blip xmlns:r="http://schemas.openxmlformats.org/officeDocument/2006/relationships" r:embed="rId6"/>
                <a:stretch>
                  <a:fillRect/>
                </a:stretch>
              </a:blipFill>
              <a:ln>
                <a:noFill/>
              </a:ln>
              <a:effectLst>
                <a:outerShdw blurRad="76200" dir="2400000" sy="23000" kx="-1200000" algn="bl" rotWithShape="0">
                  <a:schemeClr val="bg1">
                    <a:lumMod val="50000"/>
                    <a:alpha val="20000"/>
                  </a:schemeClr>
                </a:outerShdw>
              </a:effectLst>
            </c:spPr>
          </c:dPt>
          <c:dLbls>
            <c:dLbl>
              <c:idx val="0"/>
              <c:layout>
                <c:manualLayout>
                  <c:x val="-0.0233970977989049"/>
                  <c:y val="0.218645457711674"/>
                </c:manualLayout>
              </c:layout>
              <c:numFmt formatCode="General" sourceLinked="1"/>
              <c:spPr>
                <a:noFill/>
                <a:ln>
                  <a:noFill/>
                </a:ln>
                <a:effectLst/>
              </c:spPr>
              <c:txPr>
                <a:bodyPr rot="0" spcFirstLastPara="0" vertOverflow="ellipsis" vert="horz" wrap="square" lIns="107950" tIns="19050" rIns="107950" bIns="19050" anchor="ctr" anchorCtr="1" forceAA="0"/>
                <a:lstStyle/>
                <a:p>
                  <a:pPr>
                    <a:defRPr lang="zh-CN" sz="1200" b="0" i="0" u="none" strike="noStrike" kern="1200" baseline="0">
                      <a:ln>
                        <a:solidFill>
                          <a:schemeClr val="bg1">
                            <a:lumMod val="50000"/>
                          </a:schemeClr>
                        </a:solidFill>
                      </a:ln>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05674217239904"/>
                  <c:y val="0.377183545709205"/>
                </c:manualLayout>
              </c:layout>
              <c:numFmt formatCode="General" sourceLinked="1"/>
              <c:spPr>
                <a:noFill/>
                <a:ln>
                  <a:noFill/>
                </a:ln>
                <a:effectLst/>
              </c:spPr>
              <c:txPr>
                <a:bodyPr rot="0" spcFirstLastPara="0" vertOverflow="ellipsis" vert="horz" wrap="square" lIns="107950" tIns="19050" rIns="107950" bIns="19050" anchor="ctr" anchorCtr="1" forceAA="0"/>
                <a:lstStyle/>
                <a:p>
                  <a:pPr>
                    <a:defRPr lang="zh-CN" sz="1200" b="0" i="0" u="none" strike="noStrike" kern="1200" baseline="0">
                      <a:ln>
                        <a:solidFill>
                          <a:schemeClr val="bg1">
                            <a:lumMod val="50000"/>
                          </a:schemeClr>
                        </a:solidFill>
                      </a:ln>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76310124557451"/>
                  <c:y val="0.377877942076342"/>
                </c:manualLayout>
              </c:layout>
              <c:numFmt formatCode="General" sourceLinked="1"/>
              <c:spPr>
                <a:noFill/>
                <a:ln>
                  <a:noFill/>
                </a:ln>
                <a:effectLst/>
              </c:spPr>
              <c:txPr>
                <a:bodyPr rot="0" spcFirstLastPara="0" vertOverflow="ellipsis" vert="horz" wrap="square" lIns="107950" tIns="19050" rIns="107950" bIns="19050" anchor="ctr" anchorCtr="1" forceAA="0"/>
                <a:lstStyle/>
                <a:p>
                  <a:pPr>
                    <a:defRPr lang="zh-CN" sz="1200" b="0" i="0" u="none" strike="noStrike" kern="1200" baseline="0">
                      <a:ln>
                        <a:solidFill>
                          <a:schemeClr val="bg1">
                            <a:lumMod val="50000"/>
                          </a:schemeClr>
                        </a:solidFill>
                      </a:ln>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107950" tIns="19050" rIns="107950" bIns="19050" anchor="ctr" anchorCtr="1" forceAA="0"/>
              <a:lstStyle/>
              <a:p>
                <a:pPr>
                  <a:defRPr lang="zh-CN" sz="900" b="1"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2022年</c:v>
                </c:pt>
                <c:pt idx="1">
                  <c:v>2023年</c:v>
                </c:pt>
                <c:pt idx="2">
                  <c:v>2024年</c:v>
                </c:pt>
              </c:strCache>
            </c:strRef>
          </c:cat>
          <c:val>
            <c:numRef>
              <c:f>Sheet1!$B$2:$B$4</c:f>
              <c:numCache>
                <c:formatCode>General</c:formatCode>
                <c:ptCount val="3"/>
                <c:pt idx="0">
                  <c:v>1</c:v>
                </c:pt>
                <c:pt idx="1">
                  <c:v>2</c:v>
                </c:pt>
                <c:pt idx="2">
                  <c:v>2</c:v>
                </c:pt>
              </c:numCache>
            </c:numRef>
          </c:val>
        </c:ser>
        <c:dLbls>
          <c:showLegendKey val="0"/>
          <c:showVal val="1"/>
          <c:showCatName val="0"/>
          <c:showSerName val="0"/>
          <c:showPercent val="0"/>
          <c:showBubbleSize val="0"/>
        </c:dLbls>
        <c:gapWidth val="71"/>
        <c:overlap val="-27"/>
        <c:axId val="763966561"/>
        <c:axId val="774924318"/>
      </c:barChart>
      <c:catAx>
        <c:axId val="763966561"/>
        <c:scaling>
          <c:orientation val="minMax"/>
        </c:scaling>
        <c:delete val="0"/>
        <c:axPos val="b"/>
        <c:numFmt formatCode="General" sourceLinked="1"/>
        <c:majorTickMark val="out"/>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4924318"/>
        <c:crosses val="autoZero"/>
        <c:auto val="1"/>
        <c:lblAlgn val="ctr"/>
        <c:lblOffset val="100"/>
        <c:noMultiLvlLbl val="0"/>
      </c:catAx>
      <c:valAx>
        <c:axId val="774924318"/>
        <c:scaling>
          <c:orientation val="minMax"/>
          <c:max val="2"/>
        </c:scaling>
        <c:delete val="0"/>
        <c:axPos val="l"/>
        <c:majorGridlines>
          <c:spPr>
            <a:ln w="9525" cap="flat" cmpd="sng" algn="ctr">
              <a:solidFill>
                <a:schemeClr val="tx1">
                  <a:lumMod val="15000"/>
                  <a:lumOff val="85000"/>
                  <a:alpha val="97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63966561"/>
        <c:crosses val="autoZero"/>
        <c:crossBetween val="between"/>
        <c:majorUnit val="1"/>
        <c:minorUnit val="0.1"/>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307789305743239"/>
          <c:y val="0.870462994976946"/>
        </c:manualLayout>
      </c:layout>
      <c:overlay val="0"/>
      <c:spPr>
        <a:noFill/>
        <a:ln>
          <a:noFill/>
        </a:ln>
        <a:effectLst/>
      </c:spPr>
      <c:txPr>
        <a:bodyPr rot="0" spcFirstLastPara="0" vertOverflow="ellipsis" vert="horz" wrap="square" anchor="ctr" anchorCtr="1" forceAA="0"/>
        <a:lstStyle/>
        <a:p>
          <a:pPr>
            <a:defRPr lang="zh-CN" sz="900" b="1"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9abbfd60-1759-42a3-b088-8d249623ab9d}"/>
      </c:ext>
    </c:extLst>
  </c:chart>
  <c:spPr>
    <a:solidFill>
      <a:schemeClr val="bg1"/>
    </a:solidFill>
    <a:ln w="9525" cap="flat" cmpd="sng" algn="ctr">
      <a:solidFill>
        <a:schemeClr val="tx1">
          <a:lumMod val="15000"/>
          <a:lumOff val="85000"/>
          <a:alpha val="97000"/>
        </a:schemeClr>
      </a:solidFill>
      <a:round/>
    </a:ln>
    <a:effectLst/>
  </c:spPr>
  <c:txPr>
    <a:bodyPr/>
    <a:lstStyle/>
    <a:p>
      <a:pPr>
        <a:defRPr lang="zh-CN" b="1"/>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1425</Words>
  <Characters>1469</Characters>
  <Lines>24</Lines>
  <Paragraphs>6</Paragraphs>
  <TotalTime>5</TotalTime>
  <ScaleCrop>false</ScaleCrop>
  <LinksUpToDate>false</LinksUpToDate>
  <CharactersWithSpaces>1469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2024-01-02T23:20:00Z</dcterms:created>
  <dc:creator>元华 戚</dc:creator>
  <cp:lastModifiedBy>静</cp:lastModifiedBy>
  <cp:lastPrinted>2025-01-15T23:58:00Z</cp:lastPrinted>
  <dcterms:modified xsi:type="dcterms:W3CDTF">2025-01-24T06:39:19Z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E8F2DFA7218E46BE891A743E93893D57</vt:lpwstr>
  </property>
  <property fmtid="{D5CDD505-2E9C-101B-9397-08002B2CF9AE}" pid="4" name="KSOTemplateDocerSaveRecord">
    <vt:lpwstr>eyJoZGlkIjoiODQyYWIwNzhkNmQwMDRkNDFlODNhZTE5ODA5ZjAzNjYiLCJ1c2VySWQiOiIyNzY0MjI5NjQifQ==</vt:lpwstr>
  </property>
</Properties>
</file>